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5" w:rsidRPr="004614CC" w:rsidRDefault="009766EF" w:rsidP="00B23C16">
      <w:pPr>
        <w:pStyle w:val="Heading1"/>
        <w:spacing w:before="0" w:after="120" w:line="276" w:lineRule="auto"/>
        <w:rPr>
          <w:b w:val="0"/>
          <w:color w:val="183850" w:themeColor="text1"/>
          <w:sz w:val="34"/>
          <w:szCs w:val="34"/>
        </w:rPr>
      </w:pPr>
      <w:r w:rsidRPr="004614CC">
        <w:rPr>
          <w:b w:val="0"/>
          <w:color w:val="183850" w:themeColor="text1"/>
          <w:sz w:val="34"/>
          <w:szCs w:val="34"/>
        </w:rPr>
        <w:t>LOCAL PENSIONS PARTNERSHIP INVESTMENTS LIMITED</w:t>
      </w:r>
    </w:p>
    <w:tbl>
      <w:tblPr>
        <w:tblStyle w:val="TableGrid"/>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353"/>
        <w:gridCol w:w="4428"/>
      </w:tblGrid>
      <w:tr w:rsidR="00041B43" w:rsidTr="00506F9B">
        <w:tc>
          <w:tcPr>
            <w:tcW w:w="5353" w:type="dxa"/>
          </w:tcPr>
          <w:p w:rsidR="00197BA3" w:rsidRPr="004614CC" w:rsidRDefault="009766EF" w:rsidP="004614CC">
            <w:pPr>
              <w:ind w:left="-105"/>
              <w:rPr>
                <w:rFonts w:ascii="Arial" w:hAnsi="Arial" w:cs="Arial"/>
                <w:b/>
                <w:bCs/>
                <w:iCs/>
                <w:color w:val="183850" w:themeColor="text1"/>
                <w:sz w:val="28"/>
              </w:rPr>
            </w:pPr>
            <w:r w:rsidRPr="004614CC">
              <w:rPr>
                <w:rFonts w:ascii="Arial" w:hAnsi="Arial" w:cs="Arial"/>
                <w:b/>
                <w:bCs/>
                <w:iCs/>
                <w:color w:val="183850" w:themeColor="text1"/>
                <w:sz w:val="28"/>
              </w:rPr>
              <w:t>Lancashire County Pension Fund</w:t>
            </w:r>
          </w:p>
        </w:tc>
        <w:tc>
          <w:tcPr>
            <w:tcW w:w="4428" w:type="dxa"/>
          </w:tcPr>
          <w:p w:rsidR="00197BA3" w:rsidRPr="004614CC" w:rsidRDefault="009766EF" w:rsidP="00506F9B">
            <w:pPr>
              <w:rPr>
                <w:rFonts w:ascii="Arial" w:hAnsi="Arial" w:cs="Arial"/>
                <w:b/>
                <w:bCs/>
                <w:iCs/>
                <w:color w:val="183850" w:themeColor="text1"/>
                <w:sz w:val="28"/>
              </w:rPr>
            </w:pPr>
          </w:p>
        </w:tc>
      </w:tr>
      <w:tr w:rsidR="00041B43" w:rsidTr="00506F9B">
        <w:tc>
          <w:tcPr>
            <w:tcW w:w="9781" w:type="dxa"/>
            <w:gridSpan w:val="2"/>
          </w:tcPr>
          <w:p w:rsidR="00197BA3" w:rsidRPr="004614CC" w:rsidRDefault="009766EF" w:rsidP="004614CC">
            <w:pPr>
              <w:ind w:left="-105"/>
              <w:rPr>
                <w:rFonts w:ascii="Arial" w:hAnsi="Arial" w:cs="Arial"/>
                <w:b/>
                <w:bCs/>
                <w:iCs/>
                <w:color w:val="183850" w:themeColor="text1"/>
                <w:sz w:val="24"/>
              </w:rPr>
            </w:pPr>
          </w:p>
        </w:tc>
      </w:tr>
      <w:tr w:rsidR="00041B43" w:rsidTr="00506F9B">
        <w:tc>
          <w:tcPr>
            <w:tcW w:w="5353" w:type="dxa"/>
          </w:tcPr>
          <w:p w:rsidR="00197BA3" w:rsidRPr="004614CC" w:rsidRDefault="009766EF" w:rsidP="004614CC">
            <w:pPr>
              <w:ind w:left="-105"/>
              <w:rPr>
                <w:rFonts w:ascii="Arial" w:hAnsi="Arial" w:cs="Arial"/>
                <w:b/>
                <w:bCs/>
                <w:iCs/>
                <w:color w:val="183850" w:themeColor="text1"/>
                <w:sz w:val="28"/>
              </w:rPr>
            </w:pPr>
            <w:r w:rsidRPr="004614CC">
              <w:rPr>
                <w:rFonts w:ascii="Arial" w:hAnsi="Arial" w:cs="Arial"/>
                <w:b/>
                <w:bCs/>
                <w:iCs/>
                <w:color w:val="183850" w:themeColor="text1"/>
                <w:sz w:val="28"/>
              </w:rPr>
              <w:t>Pension Fund Committee</w:t>
            </w:r>
          </w:p>
        </w:tc>
        <w:tc>
          <w:tcPr>
            <w:tcW w:w="4428" w:type="dxa"/>
          </w:tcPr>
          <w:p w:rsidR="00197BA3" w:rsidRPr="004614CC" w:rsidRDefault="009766EF" w:rsidP="003A059C">
            <w:pPr>
              <w:tabs>
                <w:tab w:val="left" w:pos="2830"/>
                <w:tab w:val="right" w:pos="4212"/>
              </w:tabs>
              <w:jc w:val="right"/>
              <w:rPr>
                <w:rFonts w:ascii="Arial" w:hAnsi="Arial" w:cs="Arial"/>
                <w:b/>
                <w:bCs/>
                <w:iCs/>
                <w:color w:val="183850" w:themeColor="text1"/>
                <w:sz w:val="24"/>
              </w:rPr>
            </w:pPr>
            <w:r w:rsidRPr="004614CC">
              <w:rPr>
                <w:rFonts w:ascii="Arial" w:hAnsi="Arial" w:cs="Arial"/>
                <w:b/>
                <w:bCs/>
                <w:iCs/>
                <w:color w:val="183850" w:themeColor="text1"/>
                <w:sz w:val="24"/>
              </w:rPr>
              <w:t>2</w:t>
            </w:r>
            <w:r>
              <w:rPr>
                <w:rFonts w:ascii="Arial" w:hAnsi="Arial" w:cs="Arial"/>
                <w:b/>
                <w:bCs/>
                <w:iCs/>
                <w:color w:val="183850" w:themeColor="text1"/>
                <w:sz w:val="24"/>
              </w:rPr>
              <w:t>0</w:t>
            </w:r>
            <w:r w:rsidRPr="004614CC">
              <w:rPr>
                <w:rFonts w:ascii="Arial" w:hAnsi="Arial" w:cs="Arial"/>
                <w:b/>
                <w:bCs/>
                <w:iCs/>
                <w:color w:val="183850" w:themeColor="text1"/>
                <w:sz w:val="24"/>
              </w:rPr>
              <w:t xml:space="preserve"> </w:t>
            </w:r>
            <w:r>
              <w:rPr>
                <w:rFonts w:ascii="Arial" w:hAnsi="Arial" w:cs="Arial"/>
                <w:b/>
                <w:bCs/>
                <w:iCs/>
                <w:color w:val="183850" w:themeColor="text1"/>
                <w:sz w:val="24"/>
              </w:rPr>
              <w:t>September</w:t>
            </w:r>
            <w:r w:rsidRPr="004614CC">
              <w:rPr>
                <w:rFonts w:ascii="Arial" w:hAnsi="Arial" w:cs="Arial"/>
                <w:b/>
                <w:bCs/>
                <w:iCs/>
                <w:color w:val="183850" w:themeColor="text1"/>
                <w:sz w:val="24"/>
              </w:rPr>
              <w:t xml:space="preserve"> 2019</w:t>
            </w:r>
          </w:p>
        </w:tc>
      </w:tr>
      <w:tr w:rsidR="00041B43" w:rsidTr="00506F9B">
        <w:tc>
          <w:tcPr>
            <w:tcW w:w="5353" w:type="dxa"/>
          </w:tcPr>
          <w:p w:rsidR="00197BA3" w:rsidRPr="004614CC" w:rsidRDefault="009766EF" w:rsidP="004614CC">
            <w:pPr>
              <w:ind w:left="-105"/>
              <w:rPr>
                <w:rFonts w:ascii="Arial" w:hAnsi="Arial" w:cs="Arial"/>
                <w:b/>
                <w:bCs/>
                <w:iCs/>
                <w:color w:val="183850" w:themeColor="text1"/>
                <w:sz w:val="24"/>
                <w:szCs w:val="24"/>
              </w:rPr>
            </w:pPr>
            <w:r w:rsidRPr="004614CC">
              <w:rPr>
                <w:rFonts w:ascii="Arial" w:hAnsi="Arial" w:cs="Arial"/>
                <w:b/>
                <w:bCs/>
                <w:iCs/>
                <w:color w:val="183850" w:themeColor="text1"/>
                <w:sz w:val="24"/>
                <w:szCs w:val="24"/>
              </w:rPr>
              <w:t>Responsible Investment Report</w:t>
            </w:r>
          </w:p>
        </w:tc>
        <w:tc>
          <w:tcPr>
            <w:tcW w:w="4428" w:type="dxa"/>
          </w:tcPr>
          <w:p w:rsidR="00197BA3" w:rsidRPr="004614CC" w:rsidRDefault="009766EF" w:rsidP="00506F9B">
            <w:pPr>
              <w:jc w:val="right"/>
              <w:rPr>
                <w:rFonts w:ascii="Arial" w:hAnsi="Arial" w:cs="Arial"/>
                <w:b/>
                <w:bCs/>
                <w:iCs/>
                <w:color w:val="183850" w:themeColor="text1"/>
                <w:sz w:val="24"/>
                <w:szCs w:val="24"/>
              </w:rPr>
            </w:pPr>
          </w:p>
        </w:tc>
      </w:tr>
      <w:tr w:rsidR="00041B43" w:rsidTr="00506F9B">
        <w:tc>
          <w:tcPr>
            <w:tcW w:w="5353" w:type="dxa"/>
          </w:tcPr>
          <w:p w:rsidR="003A137F" w:rsidRPr="007200A7" w:rsidRDefault="009766EF" w:rsidP="00506F9B">
            <w:pPr>
              <w:rPr>
                <w:rFonts w:ascii="Verdana" w:hAnsi="Verdana"/>
                <w:b/>
                <w:bCs/>
                <w:iCs/>
                <w:color w:val="183850" w:themeColor="text1"/>
                <w:sz w:val="24"/>
                <w:szCs w:val="24"/>
              </w:rPr>
            </w:pPr>
          </w:p>
        </w:tc>
        <w:tc>
          <w:tcPr>
            <w:tcW w:w="4428" w:type="dxa"/>
          </w:tcPr>
          <w:p w:rsidR="003A137F" w:rsidRPr="007200A7" w:rsidRDefault="009766EF" w:rsidP="00506F9B">
            <w:pPr>
              <w:jc w:val="right"/>
              <w:rPr>
                <w:rFonts w:ascii="Verdana" w:hAnsi="Verdana"/>
                <w:b/>
                <w:bCs/>
                <w:iCs/>
                <w:color w:val="183850" w:themeColor="text1"/>
                <w:sz w:val="24"/>
                <w:szCs w:val="24"/>
              </w:rPr>
            </w:pPr>
          </w:p>
        </w:tc>
      </w:tr>
    </w:tbl>
    <w:p w:rsidR="00197BA3" w:rsidRPr="004614CC" w:rsidRDefault="009766EF" w:rsidP="00197BA3">
      <w:pPr>
        <w:rPr>
          <w:rFonts w:ascii="Arial" w:hAnsi="Arial" w:cs="Arial"/>
          <w:bCs/>
          <w:iCs/>
          <w:color w:val="183850" w:themeColor="text1"/>
        </w:rPr>
      </w:pPr>
      <w:r w:rsidRPr="004614CC">
        <w:rPr>
          <w:rFonts w:ascii="Arial" w:hAnsi="Arial" w:cs="Arial"/>
          <w:bCs/>
          <w:iCs/>
          <w:color w:val="183850" w:themeColor="text1"/>
        </w:rPr>
        <w:tab/>
      </w:r>
      <w:r w:rsidRPr="004614CC">
        <w:rPr>
          <w:rFonts w:ascii="Arial" w:hAnsi="Arial" w:cs="Arial"/>
          <w:bCs/>
          <w:iCs/>
          <w:color w:val="183850" w:themeColor="text1"/>
        </w:rPr>
        <w:tab/>
      </w:r>
      <w:r w:rsidRPr="004614CC">
        <w:rPr>
          <w:rFonts w:ascii="Arial" w:hAnsi="Arial" w:cs="Arial"/>
          <w:bCs/>
          <w:iCs/>
          <w:color w:val="183850" w:themeColor="text1"/>
        </w:rPr>
        <w:tab/>
        <w:t xml:space="preserve"> </w:t>
      </w:r>
      <w:r w:rsidRPr="004614CC">
        <w:rPr>
          <w:rFonts w:ascii="Arial" w:hAnsi="Arial" w:cs="Arial"/>
          <w:bCs/>
          <w:iCs/>
          <w:color w:val="183850" w:themeColor="text1"/>
        </w:rPr>
        <w:tab/>
      </w:r>
      <w:r w:rsidRPr="004614CC">
        <w:rPr>
          <w:rFonts w:ascii="Arial" w:hAnsi="Arial" w:cs="Arial"/>
          <w:bCs/>
          <w:iCs/>
          <w:color w:val="183850" w:themeColor="text1"/>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3"/>
        <w:gridCol w:w="7229"/>
      </w:tblGrid>
      <w:tr w:rsidR="00041B43" w:rsidTr="00506F9B">
        <w:trPr>
          <w:trHeight w:val="461"/>
        </w:trPr>
        <w:tc>
          <w:tcPr>
            <w:tcW w:w="2523" w:type="dxa"/>
            <w:shd w:val="clear" w:color="auto" w:fill="F2F2F2" w:themeFill="background1" w:themeFillShade="F2"/>
          </w:tcPr>
          <w:p w:rsidR="00197BA3" w:rsidRPr="004614CC" w:rsidRDefault="009766EF" w:rsidP="00506F9B">
            <w:pPr>
              <w:rPr>
                <w:rFonts w:ascii="Arial" w:hAnsi="Arial" w:cs="Arial"/>
                <w:b/>
                <w:bCs/>
                <w:iCs/>
                <w:color w:val="183850" w:themeColor="text1"/>
                <w:sz w:val="20"/>
                <w:szCs w:val="20"/>
              </w:rPr>
            </w:pPr>
            <w:r w:rsidRPr="004614CC">
              <w:rPr>
                <w:rFonts w:ascii="Arial" w:hAnsi="Arial" w:cs="Arial"/>
                <w:b/>
                <w:bCs/>
                <w:iCs/>
                <w:color w:val="183850" w:themeColor="text1"/>
                <w:sz w:val="20"/>
                <w:szCs w:val="20"/>
              </w:rPr>
              <w:t>Title of Paper</w:t>
            </w:r>
          </w:p>
        </w:tc>
        <w:tc>
          <w:tcPr>
            <w:tcW w:w="7229" w:type="dxa"/>
          </w:tcPr>
          <w:p w:rsidR="00197BA3" w:rsidRPr="004614CC" w:rsidRDefault="009766EF" w:rsidP="00AC0264">
            <w:pPr>
              <w:ind w:left="1338" w:hanging="1338"/>
              <w:rPr>
                <w:rFonts w:ascii="Arial" w:hAnsi="Arial" w:cs="Arial"/>
                <w:bCs/>
                <w:iCs/>
                <w:color w:val="183850" w:themeColor="text1"/>
                <w:sz w:val="20"/>
                <w:szCs w:val="20"/>
              </w:rPr>
            </w:pPr>
            <w:r w:rsidRPr="004614CC">
              <w:rPr>
                <w:rFonts w:ascii="Arial" w:hAnsi="Arial" w:cs="Arial"/>
                <w:bCs/>
                <w:sz w:val="20"/>
                <w:szCs w:val="20"/>
              </w:rPr>
              <w:t>Quarterly Report on Responsible Investment (2019 Q2)</w:t>
            </w:r>
          </w:p>
        </w:tc>
      </w:tr>
      <w:tr w:rsidR="00041B43" w:rsidTr="00506F9B">
        <w:trPr>
          <w:trHeight w:val="632"/>
        </w:trPr>
        <w:tc>
          <w:tcPr>
            <w:tcW w:w="2523" w:type="dxa"/>
            <w:shd w:val="clear" w:color="auto" w:fill="F2F2F2" w:themeFill="background1" w:themeFillShade="F2"/>
          </w:tcPr>
          <w:p w:rsidR="00197BA3" w:rsidRPr="004614CC" w:rsidRDefault="009766EF" w:rsidP="00506F9B">
            <w:pPr>
              <w:rPr>
                <w:rFonts w:ascii="Arial" w:hAnsi="Arial" w:cs="Arial"/>
                <w:b/>
                <w:bCs/>
                <w:iCs/>
                <w:color w:val="183850" w:themeColor="text1"/>
                <w:sz w:val="20"/>
                <w:szCs w:val="20"/>
              </w:rPr>
            </w:pPr>
            <w:r w:rsidRPr="004614CC">
              <w:rPr>
                <w:rFonts w:ascii="Arial" w:hAnsi="Arial" w:cs="Arial"/>
                <w:b/>
                <w:bCs/>
                <w:iCs/>
                <w:color w:val="183850" w:themeColor="text1"/>
                <w:sz w:val="20"/>
                <w:szCs w:val="20"/>
              </w:rPr>
              <w:t>Lead Officer:</w:t>
            </w:r>
          </w:p>
        </w:tc>
        <w:tc>
          <w:tcPr>
            <w:tcW w:w="7229" w:type="dxa"/>
          </w:tcPr>
          <w:p w:rsidR="00197BA3" w:rsidRPr="004614CC" w:rsidRDefault="009766EF" w:rsidP="00AC0264">
            <w:pPr>
              <w:ind w:left="1338" w:hanging="1338"/>
              <w:rPr>
                <w:rFonts w:ascii="Arial" w:hAnsi="Arial" w:cs="Arial"/>
                <w:bCs/>
                <w:sz w:val="20"/>
                <w:szCs w:val="20"/>
              </w:rPr>
            </w:pPr>
            <w:r w:rsidRPr="004614CC">
              <w:rPr>
                <w:rFonts w:ascii="Arial" w:hAnsi="Arial" w:cs="Arial"/>
                <w:bCs/>
                <w:sz w:val="20"/>
                <w:szCs w:val="20"/>
              </w:rPr>
              <w:t xml:space="preserve">Frances Deakin </w:t>
            </w:r>
          </w:p>
          <w:p w:rsidR="00197BA3" w:rsidRPr="004614CC" w:rsidRDefault="009766EF" w:rsidP="00AC0264">
            <w:pPr>
              <w:ind w:left="1338" w:hanging="1338"/>
              <w:rPr>
                <w:rFonts w:ascii="Arial" w:hAnsi="Arial" w:cs="Arial"/>
                <w:bCs/>
                <w:sz w:val="20"/>
                <w:szCs w:val="20"/>
              </w:rPr>
            </w:pPr>
            <w:r w:rsidRPr="004614CC">
              <w:rPr>
                <w:rFonts w:ascii="Arial" w:hAnsi="Arial" w:cs="Arial"/>
                <w:bCs/>
                <w:sz w:val="20"/>
                <w:szCs w:val="20"/>
              </w:rPr>
              <w:t>Head of Responsible Investment</w:t>
            </w:r>
          </w:p>
          <w:p w:rsidR="00197BA3" w:rsidRPr="004614CC" w:rsidRDefault="009766EF" w:rsidP="00AC0264">
            <w:pPr>
              <w:ind w:left="1338" w:hanging="1338"/>
              <w:rPr>
                <w:rFonts w:ascii="Arial" w:hAnsi="Arial" w:cs="Arial"/>
                <w:bCs/>
                <w:sz w:val="20"/>
                <w:szCs w:val="20"/>
              </w:rPr>
            </w:pPr>
            <w:r w:rsidRPr="004614CC">
              <w:rPr>
                <w:rFonts w:ascii="Arial" w:hAnsi="Arial" w:cs="Arial"/>
                <w:bCs/>
                <w:sz w:val="20"/>
                <w:szCs w:val="20"/>
              </w:rPr>
              <w:t xml:space="preserve">Local Pensions Partnership Investments Ltd </w:t>
            </w:r>
          </w:p>
          <w:p w:rsidR="00197BA3" w:rsidRPr="004614CC" w:rsidRDefault="009766EF" w:rsidP="00506F9B">
            <w:pPr>
              <w:rPr>
                <w:rFonts w:ascii="Arial" w:hAnsi="Arial" w:cs="Arial"/>
                <w:bCs/>
                <w:iCs/>
                <w:color w:val="183850" w:themeColor="text1"/>
                <w:sz w:val="20"/>
                <w:szCs w:val="20"/>
              </w:rPr>
            </w:pPr>
            <w:hyperlink r:id="rId8" w:history="1">
              <w:r w:rsidRPr="004614CC">
                <w:rPr>
                  <w:rStyle w:val="Hyperlink"/>
                  <w:rFonts w:ascii="Arial" w:hAnsi="Arial" w:cs="Arial"/>
                  <w:bCs/>
                  <w:iCs/>
                  <w:color w:val="183850" w:themeColor="text1"/>
                  <w:sz w:val="20"/>
                  <w:szCs w:val="20"/>
                </w:rPr>
                <w:t>frances.deakin@localpensionspartnership.org.uk</w:t>
              </w:r>
            </w:hyperlink>
          </w:p>
          <w:p w:rsidR="00197BA3" w:rsidRPr="004614CC" w:rsidRDefault="009766EF" w:rsidP="00506F9B">
            <w:pPr>
              <w:rPr>
                <w:rFonts w:ascii="Arial" w:hAnsi="Arial" w:cs="Arial"/>
                <w:bCs/>
                <w:iCs/>
                <w:color w:val="183850" w:themeColor="text1"/>
                <w:sz w:val="20"/>
                <w:szCs w:val="20"/>
              </w:rPr>
            </w:pPr>
          </w:p>
        </w:tc>
      </w:tr>
    </w:tbl>
    <w:p w:rsidR="00B23C16" w:rsidRPr="007200A7" w:rsidRDefault="009766EF" w:rsidP="00320885">
      <w:pPr>
        <w:spacing w:after="0" w:line="240" w:lineRule="auto"/>
        <w:rPr>
          <w:rFonts w:ascii="Verdana" w:hAnsi="Verdana" w:cs="Arial"/>
          <w:b/>
          <w:bCs/>
          <w:color w:val="183850" w:themeColor="text1"/>
          <w:sz w:val="20"/>
          <w:szCs w:val="20"/>
        </w:rPr>
      </w:pPr>
    </w:p>
    <w:p w:rsidR="00E04E31" w:rsidRPr="004614CC" w:rsidRDefault="009766EF" w:rsidP="00C857CD">
      <w:pPr>
        <w:pStyle w:val="treb"/>
        <w:numPr>
          <w:ilvl w:val="0"/>
          <w:numId w:val="2"/>
        </w:numPr>
        <w:spacing w:after="0"/>
        <w:ind w:left="0" w:firstLine="0"/>
        <w:rPr>
          <w:rFonts w:ascii="Arial" w:hAnsi="Arial"/>
          <w:color w:val="54BBAB" w:themeColor="text2"/>
          <w:sz w:val="20"/>
          <w:szCs w:val="20"/>
        </w:rPr>
      </w:pPr>
      <w:r w:rsidRPr="004614CC">
        <w:rPr>
          <w:rFonts w:ascii="Arial" w:hAnsi="Arial"/>
          <w:color w:val="54BBAB" w:themeColor="text2"/>
          <w:sz w:val="20"/>
          <w:szCs w:val="20"/>
        </w:rPr>
        <w:t>Executive Summary</w:t>
      </w:r>
    </w:p>
    <w:p w:rsidR="00197BA3" w:rsidRPr="004614CC" w:rsidRDefault="009766EF" w:rsidP="003B4083">
      <w:pPr>
        <w:pStyle w:val="treb"/>
        <w:numPr>
          <w:ilvl w:val="0"/>
          <w:numId w:val="0"/>
        </w:numPr>
        <w:spacing w:after="0"/>
        <w:rPr>
          <w:rFonts w:ascii="Arial" w:hAnsi="Arial"/>
          <w:b w:val="0"/>
          <w:color w:val="183850" w:themeColor="text1"/>
          <w:sz w:val="20"/>
          <w:szCs w:val="20"/>
        </w:rPr>
      </w:pPr>
    </w:p>
    <w:p w:rsidR="00197BA3" w:rsidRPr="004614CC" w:rsidRDefault="009766EF" w:rsidP="003B4083">
      <w:pPr>
        <w:pStyle w:val="treb"/>
        <w:numPr>
          <w:ilvl w:val="0"/>
          <w:numId w:val="0"/>
        </w:numPr>
        <w:spacing w:after="0"/>
        <w:rPr>
          <w:rFonts w:ascii="Arial" w:hAnsi="Arial"/>
          <w:b w:val="0"/>
          <w:sz w:val="20"/>
          <w:szCs w:val="20"/>
        </w:rPr>
      </w:pPr>
      <w:r w:rsidRPr="004614CC">
        <w:rPr>
          <w:rFonts w:ascii="Arial" w:hAnsi="Arial"/>
          <w:b w:val="0"/>
          <w:sz w:val="20"/>
          <w:szCs w:val="20"/>
        </w:rPr>
        <w:t xml:space="preserve">This report provides </w:t>
      </w:r>
      <w:r w:rsidRPr="004614CC">
        <w:rPr>
          <w:rFonts w:ascii="Arial" w:hAnsi="Arial"/>
          <w:b w:val="0"/>
          <w:sz w:val="20"/>
          <w:szCs w:val="20"/>
        </w:rPr>
        <w:t>members of the Pension Fund Committee of Lancashire County Pension Fund (LCPF) with a quarterly update on Responsible Investment (RI) matters.</w:t>
      </w:r>
    </w:p>
    <w:p w:rsidR="00197BA3" w:rsidRPr="004614CC" w:rsidRDefault="009766EF" w:rsidP="003B4083">
      <w:pPr>
        <w:pStyle w:val="treb"/>
        <w:numPr>
          <w:ilvl w:val="0"/>
          <w:numId w:val="0"/>
        </w:numPr>
        <w:spacing w:after="0"/>
        <w:rPr>
          <w:rFonts w:ascii="Arial" w:hAnsi="Arial"/>
          <w:b w:val="0"/>
          <w:color w:val="54BBAB"/>
          <w:sz w:val="20"/>
          <w:szCs w:val="20"/>
        </w:rPr>
      </w:pPr>
    </w:p>
    <w:p w:rsidR="00320885" w:rsidRPr="004614CC" w:rsidRDefault="009766EF" w:rsidP="004614CC">
      <w:pPr>
        <w:pStyle w:val="treb"/>
        <w:numPr>
          <w:ilvl w:val="0"/>
          <w:numId w:val="2"/>
        </w:numPr>
        <w:spacing w:after="0"/>
        <w:ind w:hanging="720"/>
        <w:rPr>
          <w:rFonts w:ascii="Arial" w:hAnsi="Arial"/>
          <w:color w:val="54BBAB"/>
          <w:sz w:val="20"/>
          <w:szCs w:val="20"/>
        </w:rPr>
      </w:pPr>
      <w:r w:rsidRPr="004614CC">
        <w:rPr>
          <w:rFonts w:ascii="Arial" w:hAnsi="Arial"/>
          <w:color w:val="54BBAB"/>
          <w:sz w:val="20"/>
          <w:szCs w:val="20"/>
        </w:rPr>
        <w:t>Introduction</w:t>
      </w:r>
    </w:p>
    <w:p w:rsidR="00197BA3" w:rsidRPr="004614CC" w:rsidRDefault="009766EF" w:rsidP="003B4083">
      <w:pPr>
        <w:autoSpaceDE w:val="0"/>
        <w:autoSpaceDN w:val="0"/>
        <w:adjustRightInd w:val="0"/>
        <w:spacing w:after="0"/>
        <w:jc w:val="both"/>
        <w:rPr>
          <w:rFonts w:ascii="Arial" w:hAnsi="Arial" w:cs="Arial"/>
          <w:color w:val="54BBAB"/>
          <w:sz w:val="20"/>
          <w:szCs w:val="20"/>
        </w:rPr>
      </w:pPr>
    </w:p>
    <w:p w:rsidR="00197BA3" w:rsidRPr="004614CC" w:rsidRDefault="009766EF" w:rsidP="003B4083">
      <w:pPr>
        <w:autoSpaceDE w:val="0"/>
        <w:autoSpaceDN w:val="0"/>
        <w:adjustRightInd w:val="0"/>
        <w:spacing w:after="0"/>
        <w:jc w:val="both"/>
        <w:rPr>
          <w:rFonts w:ascii="Arial" w:hAnsi="Arial" w:cs="Arial"/>
          <w:sz w:val="20"/>
          <w:szCs w:val="20"/>
        </w:rPr>
      </w:pPr>
      <w:r w:rsidRPr="004614CC">
        <w:rPr>
          <w:rFonts w:ascii="Arial" w:hAnsi="Arial" w:cs="Arial"/>
          <w:sz w:val="20"/>
          <w:szCs w:val="20"/>
        </w:rPr>
        <w:t xml:space="preserve">The Fund's approach to RI is articulated within an Investment Strategy Statement (ISS) which </w:t>
      </w:r>
      <w:r w:rsidRPr="004614CC">
        <w:rPr>
          <w:rFonts w:ascii="Arial" w:hAnsi="Arial" w:cs="Arial"/>
          <w:sz w:val="20"/>
          <w:szCs w:val="20"/>
        </w:rPr>
        <w:t>confirms that the objective of RI is to decrease investor risk, improve risk-adjusted returns and assist the Fund's adherence to the UK Stewardship Code. LCPF’s ISS is supplemented by a Responsible Investment Policy which explains that the Fund's preferred</w:t>
      </w:r>
      <w:r w:rsidRPr="004614CC">
        <w:rPr>
          <w:rFonts w:ascii="Arial" w:hAnsi="Arial" w:cs="Arial"/>
          <w:sz w:val="20"/>
          <w:szCs w:val="20"/>
        </w:rPr>
        <w:t xml:space="preserve"> approach to RI encompasses four main areas of activity:</w:t>
      </w:r>
    </w:p>
    <w:p w:rsidR="00197BA3" w:rsidRPr="004614CC" w:rsidRDefault="009766EF" w:rsidP="00C857CD">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Arial" w:hAnsi="Arial" w:cs="Arial"/>
          <w:sz w:val="20"/>
          <w:szCs w:val="20"/>
        </w:rPr>
      </w:pPr>
      <w:r w:rsidRPr="004614CC">
        <w:rPr>
          <w:rFonts w:ascii="Arial" w:hAnsi="Arial" w:cs="Arial"/>
          <w:sz w:val="20"/>
          <w:szCs w:val="20"/>
        </w:rPr>
        <w:t>Voting Globally</w:t>
      </w:r>
    </w:p>
    <w:p w:rsidR="00197BA3" w:rsidRPr="004614CC" w:rsidRDefault="009766EF" w:rsidP="00C857CD">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Arial" w:hAnsi="Arial" w:cs="Arial"/>
          <w:sz w:val="20"/>
          <w:szCs w:val="20"/>
        </w:rPr>
      </w:pPr>
      <w:r w:rsidRPr="004614CC">
        <w:rPr>
          <w:rFonts w:ascii="Arial" w:hAnsi="Arial" w:cs="Arial"/>
          <w:sz w:val="20"/>
          <w:szCs w:val="20"/>
        </w:rPr>
        <w:t>Engagement through Partnerships</w:t>
      </w:r>
    </w:p>
    <w:p w:rsidR="00197BA3" w:rsidRPr="004614CC" w:rsidRDefault="009766EF" w:rsidP="00C857CD">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Arial" w:hAnsi="Arial" w:cs="Arial"/>
          <w:sz w:val="20"/>
          <w:szCs w:val="20"/>
        </w:rPr>
      </w:pPr>
      <w:r w:rsidRPr="004614CC">
        <w:rPr>
          <w:rFonts w:ascii="Arial" w:hAnsi="Arial" w:cs="Arial"/>
          <w:sz w:val="20"/>
          <w:szCs w:val="20"/>
        </w:rPr>
        <w:t>Shareholder Litigation</w:t>
      </w:r>
    </w:p>
    <w:p w:rsidR="00197BA3" w:rsidRPr="004614CC" w:rsidRDefault="009766EF" w:rsidP="00C857CD">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Arial" w:hAnsi="Arial" w:cs="Arial"/>
          <w:sz w:val="20"/>
          <w:szCs w:val="20"/>
        </w:rPr>
      </w:pPr>
      <w:r w:rsidRPr="004614CC">
        <w:rPr>
          <w:rFonts w:ascii="Arial" w:hAnsi="Arial" w:cs="Arial"/>
          <w:sz w:val="20"/>
          <w:szCs w:val="20"/>
        </w:rPr>
        <w:t>Active Investing</w:t>
      </w:r>
    </w:p>
    <w:p w:rsidR="006403C0" w:rsidRPr="004614CC" w:rsidRDefault="009766EF" w:rsidP="003B4083">
      <w:pPr>
        <w:autoSpaceDE w:val="0"/>
        <w:autoSpaceDN w:val="0"/>
        <w:adjustRightInd w:val="0"/>
        <w:spacing w:after="0"/>
        <w:jc w:val="both"/>
        <w:rPr>
          <w:rFonts w:ascii="Arial" w:hAnsi="Arial" w:cs="Arial"/>
          <w:sz w:val="20"/>
          <w:szCs w:val="20"/>
        </w:rPr>
      </w:pPr>
    </w:p>
    <w:p w:rsidR="00197BA3" w:rsidRPr="004614CC" w:rsidRDefault="009766EF" w:rsidP="00692968">
      <w:pPr>
        <w:pStyle w:val="treb"/>
        <w:numPr>
          <w:ilvl w:val="0"/>
          <w:numId w:val="0"/>
        </w:numPr>
        <w:spacing w:after="0"/>
        <w:rPr>
          <w:rFonts w:ascii="Arial" w:hAnsi="Arial"/>
          <w:b w:val="0"/>
          <w:sz w:val="20"/>
          <w:szCs w:val="20"/>
        </w:rPr>
      </w:pPr>
      <w:r w:rsidRPr="004614CC">
        <w:rPr>
          <w:rFonts w:ascii="Arial" w:hAnsi="Arial"/>
          <w:b w:val="0"/>
          <w:sz w:val="20"/>
          <w:szCs w:val="20"/>
        </w:rPr>
        <w:t>Responsibility for the practical implementation of the Fund's approach to RI is devolved to Local Pensions Partnership Investments Ltd (LPPI) as LCPF's provider of investment management services. The report which follows provides the Committee with an upda</w:t>
      </w:r>
      <w:r w:rsidRPr="004614CC">
        <w:rPr>
          <w:rFonts w:ascii="Arial" w:hAnsi="Arial"/>
          <w:b w:val="0"/>
          <w:sz w:val="20"/>
          <w:szCs w:val="20"/>
        </w:rPr>
        <w:t xml:space="preserve">te on RI activity during the period 1 April to 30 June 2019 plus insights on current and emerging issues. </w:t>
      </w:r>
    </w:p>
    <w:p w:rsidR="00F83B47" w:rsidRPr="004614CC" w:rsidRDefault="009766EF" w:rsidP="003B4083">
      <w:pPr>
        <w:autoSpaceDE w:val="0"/>
        <w:autoSpaceDN w:val="0"/>
        <w:adjustRightInd w:val="0"/>
        <w:spacing w:after="0"/>
        <w:jc w:val="both"/>
        <w:rPr>
          <w:rFonts w:ascii="Arial" w:hAnsi="Arial" w:cs="Arial"/>
          <w:color w:val="183850" w:themeColor="text1"/>
          <w:sz w:val="20"/>
          <w:szCs w:val="20"/>
        </w:rPr>
      </w:pPr>
    </w:p>
    <w:p w:rsidR="00197BA3" w:rsidRPr="004614CC" w:rsidRDefault="009766EF" w:rsidP="00C857CD">
      <w:pPr>
        <w:pStyle w:val="treb"/>
        <w:numPr>
          <w:ilvl w:val="0"/>
          <w:numId w:val="2"/>
        </w:numPr>
        <w:spacing w:after="0"/>
        <w:ind w:left="0" w:firstLine="0"/>
        <w:rPr>
          <w:rFonts w:ascii="Arial" w:hAnsi="Arial"/>
          <w:color w:val="54BBAB" w:themeColor="text2"/>
          <w:sz w:val="20"/>
          <w:szCs w:val="20"/>
        </w:rPr>
      </w:pPr>
      <w:r w:rsidRPr="004614CC">
        <w:rPr>
          <w:rFonts w:ascii="Arial" w:hAnsi="Arial"/>
          <w:color w:val="54BBAB" w:themeColor="text2"/>
          <w:sz w:val="20"/>
          <w:szCs w:val="20"/>
        </w:rPr>
        <w:t>Voting Globally</w:t>
      </w:r>
    </w:p>
    <w:p w:rsidR="00197BA3" w:rsidRPr="004614CC" w:rsidRDefault="009766EF" w:rsidP="003B4083">
      <w:pPr>
        <w:pStyle w:val="treb"/>
        <w:numPr>
          <w:ilvl w:val="0"/>
          <w:numId w:val="0"/>
        </w:numPr>
        <w:spacing w:after="0"/>
        <w:rPr>
          <w:rFonts w:ascii="Arial" w:hAnsi="Arial"/>
          <w:color w:val="183850" w:themeColor="text1"/>
          <w:sz w:val="20"/>
          <w:szCs w:val="20"/>
        </w:rPr>
      </w:pPr>
    </w:p>
    <w:p w:rsidR="00B7162D" w:rsidRPr="004614CC" w:rsidRDefault="009766EF" w:rsidP="003B4083">
      <w:pPr>
        <w:autoSpaceDE w:val="0"/>
        <w:autoSpaceDN w:val="0"/>
        <w:adjustRightInd w:val="0"/>
        <w:spacing w:after="0"/>
        <w:rPr>
          <w:rFonts w:ascii="Arial" w:hAnsi="Arial" w:cs="Arial"/>
          <w:bCs/>
          <w:sz w:val="20"/>
          <w:szCs w:val="20"/>
        </w:rPr>
      </w:pPr>
      <w:r w:rsidRPr="004614CC">
        <w:rPr>
          <w:rFonts w:ascii="Arial" w:hAnsi="Arial" w:cs="Arial"/>
          <w:bCs/>
          <w:sz w:val="20"/>
          <w:szCs w:val="20"/>
        </w:rPr>
        <w:t>Through its investment in the LPPI Global Equities Fund (GEF) LCPF owns units in a pooled fund which invests in listed companies gl</w:t>
      </w:r>
      <w:r w:rsidRPr="004614CC">
        <w:rPr>
          <w:rFonts w:ascii="Arial" w:hAnsi="Arial" w:cs="Arial"/>
          <w:bCs/>
          <w:sz w:val="20"/>
          <w:szCs w:val="20"/>
        </w:rPr>
        <w:t>obally. Investors in the GEF delegate the control and exercise of shareholder voting to LPPI. This</w:t>
      </w:r>
      <w:r w:rsidRPr="004614CC">
        <w:rPr>
          <w:rFonts w:ascii="Arial" w:hAnsi="Arial" w:cs="Arial"/>
          <w:sz w:val="20"/>
          <w:szCs w:val="20"/>
        </w:rPr>
        <w:t xml:space="preserve"> </w:t>
      </w:r>
      <w:r w:rsidRPr="004614CC">
        <w:rPr>
          <w:rFonts w:ascii="Arial" w:hAnsi="Arial" w:cs="Arial"/>
          <w:bCs/>
          <w:sz w:val="20"/>
          <w:szCs w:val="20"/>
        </w:rPr>
        <w:t xml:space="preserve">reflects that clients owning units in the GEF are beneficial owners in common but do not directly own shares in underlying companies. </w:t>
      </w:r>
    </w:p>
    <w:p w:rsidR="00FC2A79" w:rsidRPr="004614CC" w:rsidRDefault="009766EF" w:rsidP="003B4083">
      <w:pPr>
        <w:autoSpaceDE w:val="0"/>
        <w:autoSpaceDN w:val="0"/>
        <w:adjustRightInd w:val="0"/>
        <w:spacing w:after="0"/>
        <w:rPr>
          <w:rFonts w:ascii="Arial" w:hAnsi="Arial" w:cs="Arial"/>
          <w:bCs/>
          <w:sz w:val="20"/>
          <w:szCs w:val="20"/>
        </w:rPr>
      </w:pPr>
    </w:p>
    <w:p w:rsidR="0004532C" w:rsidRPr="004614CC" w:rsidRDefault="009766EF" w:rsidP="003B4083">
      <w:pPr>
        <w:autoSpaceDE w:val="0"/>
        <w:autoSpaceDN w:val="0"/>
        <w:adjustRightInd w:val="0"/>
        <w:spacing w:after="0"/>
        <w:rPr>
          <w:rFonts w:ascii="Arial" w:hAnsi="Arial" w:cs="Arial"/>
          <w:bCs/>
          <w:sz w:val="20"/>
          <w:szCs w:val="20"/>
        </w:rPr>
      </w:pPr>
      <w:r w:rsidRPr="004614CC">
        <w:rPr>
          <w:rFonts w:ascii="Arial" w:hAnsi="Arial" w:cs="Arial"/>
          <w:bCs/>
          <w:sz w:val="20"/>
          <w:szCs w:val="20"/>
        </w:rPr>
        <w:t>LPPI exercise</w:t>
      </w:r>
      <w:r>
        <w:rPr>
          <w:rFonts w:ascii="Arial" w:hAnsi="Arial" w:cs="Arial"/>
          <w:bCs/>
          <w:sz w:val="20"/>
          <w:szCs w:val="20"/>
        </w:rPr>
        <w:t>s</w:t>
      </w:r>
      <w:r w:rsidRPr="004614CC">
        <w:rPr>
          <w:rFonts w:ascii="Arial" w:hAnsi="Arial" w:cs="Arial"/>
          <w:bCs/>
          <w:sz w:val="20"/>
          <w:szCs w:val="20"/>
        </w:rPr>
        <w:t xml:space="preserve"> shareholder voting rights for the GEF centrally rather than delegating voting to individual asset managers and take</w:t>
      </w:r>
      <w:r>
        <w:rPr>
          <w:rFonts w:ascii="Arial" w:hAnsi="Arial" w:cs="Arial"/>
          <w:bCs/>
          <w:sz w:val="20"/>
          <w:szCs w:val="20"/>
        </w:rPr>
        <w:t>s</w:t>
      </w:r>
      <w:r w:rsidRPr="004614CC">
        <w:rPr>
          <w:rFonts w:ascii="Arial" w:hAnsi="Arial" w:cs="Arial"/>
          <w:bCs/>
          <w:sz w:val="20"/>
          <w:szCs w:val="20"/>
        </w:rPr>
        <w:t xml:space="preserve"> account of voting recommendations from an external provider of proxy voting and governance research (ISS) in accordance a Sustainability V</w:t>
      </w:r>
      <w:r w:rsidRPr="004614CC">
        <w:rPr>
          <w:rFonts w:ascii="Arial" w:hAnsi="Arial" w:cs="Arial"/>
          <w:bCs/>
          <w:sz w:val="20"/>
          <w:szCs w:val="20"/>
        </w:rPr>
        <w:t>oting Policy designed to ensure the consideration of ESG factors within analysis. LPPI review</w:t>
      </w:r>
      <w:r>
        <w:rPr>
          <w:rFonts w:ascii="Arial" w:hAnsi="Arial" w:cs="Arial"/>
          <w:bCs/>
          <w:sz w:val="20"/>
          <w:szCs w:val="20"/>
        </w:rPr>
        <w:t>s</w:t>
      </w:r>
      <w:r w:rsidRPr="004614CC">
        <w:rPr>
          <w:rFonts w:ascii="Arial" w:hAnsi="Arial" w:cs="Arial"/>
          <w:bCs/>
          <w:sz w:val="20"/>
          <w:szCs w:val="20"/>
        </w:rPr>
        <w:t xml:space="preserve"> voting recommendations and take</w:t>
      </w:r>
      <w:r>
        <w:rPr>
          <w:rFonts w:ascii="Arial" w:hAnsi="Arial" w:cs="Arial"/>
          <w:bCs/>
          <w:sz w:val="20"/>
          <w:szCs w:val="20"/>
        </w:rPr>
        <w:t>s</w:t>
      </w:r>
      <w:r w:rsidRPr="004614CC">
        <w:rPr>
          <w:rFonts w:ascii="Arial" w:hAnsi="Arial" w:cs="Arial"/>
          <w:bCs/>
          <w:sz w:val="20"/>
          <w:szCs w:val="20"/>
        </w:rPr>
        <w:t xml:space="preserve"> the final decision on all voting.</w:t>
      </w:r>
    </w:p>
    <w:p w:rsidR="00197BA3" w:rsidRPr="004614CC" w:rsidRDefault="009766EF" w:rsidP="003B4083">
      <w:pPr>
        <w:autoSpaceDE w:val="0"/>
        <w:autoSpaceDN w:val="0"/>
        <w:adjustRightInd w:val="0"/>
        <w:spacing w:after="0"/>
        <w:rPr>
          <w:rFonts w:ascii="Arial" w:hAnsi="Arial" w:cs="Arial"/>
          <w:bCs/>
          <w:sz w:val="20"/>
          <w:szCs w:val="20"/>
        </w:rPr>
      </w:pPr>
      <w:r w:rsidRPr="004614CC">
        <w:rPr>
          <w:rFonts w:ascii="Arial" w:hAnsi="Arial" w:cs="Arial"/>
          <w:bCs/>
          <w:sz w:val="20"/>
          <w:szCs w:val="20"/>
        </w:rPr>
        <w:t xml:space="preserve"> </w:t>
      </w:r>
    </w:p>
    <w:p w:rsidR="009D783C" w:rsidRPr="004614CC" w:rsidRDefault="009766EF" w:rsidP="00692968">
      <w:pPr>
        <w:autoSpaceDE w:val="0"/>
        <w:autoSpaceDN w:val="0"/>
        <w:adjustRightInd w:val="0"/>
        <w:spacing w:after="0"/>
        <w:rPr>
          <w:rFonts w:ascii="Arial" w:hAnsi="Arial" w:cs="Arial"/>
          <w:bCs/>
          <w:sz w:val="20"/>
          <w:szCs w:val="20"/>
        </w:rPr>
      </w:pPr>
      <w:r w:rsidRPr="004614CC">
        <w:rPr>
          <w:rFonts w:ascii="Arial" w:hAnsi="Arial" w:cs="Arial"/>
          <w:bCs/>
          <w:sz w:val="20"/>
          <w:szCs w:val="20"/>
        </w:rPr>
        <w:t xml:space="preserve">In the </w:t>
      </w:r>
      <w:r>
        <w:rPr>
          <w:rFonts w:ascii="Arial" w:hAnsi="Arial" w:cs="Arial"/>
          <w:bCs/>
          <w:sz w:val="20"/>
          <w:szCs w:val="20"/>
        </w:rPr>
        <w:t>second</w:t>
      </w:r>
      <w:r w:rsidRPr="004614CC">
        <w:rPr>
          <w:rFonts w:ascii="Arial" w:hAnsi="Arial" w:cs="Arial"/>
          <w:bCs/>
          <w:sz w:val="20"/>
          <w:szCs w:val="20"/>
        </w:rPr>
        <w:t xml:space="preserve"> quarter of 2019 </w:t>
      </w:r>
      <w:r>
        <w:rPr>
          <w:rFonts w:ascii="Arial" w:hAnsi="Arial" w:cs="Arial"/>
          <w:bCs/>
          <w:sz w:val="20"/>
          <w:szCs w:val="20"/>
        </w:rPr>
        <w:t xml:space="preserve">(the height of voting season) </w:t>
      </w:r>
      <w:r w:rsidRPr="004614CC">
        <w:rPr>
          <w:rFonts w:ascii="Arial" w:hAnsi="Arial" w:cs="Arial"/>
          <w:bCs/>
          <w:sz w:val="20"/>
          <w:szCs w:val="20"/>
        </w:rPr>
        <w:t>shareholder voting headlines for</w:t>
      </w:r>
      <w:r w:rsidRPr="004614CC">
        <w:rPr>
          <w:rFonts w:ascii="Arial" w:hAnsi="Arial" w:cs="Arial"/>
          <w:bCs/>
          <w:sz w:val="20"/>
          <w:szCs w:val="20"/>
        </w:rPr>
        <w:t xml:space="preserve"> the GEF were as follows:</w:t>
      </w:r>
    </w:p>
    <w:p w:rsidR="00BE766B" w:rsidRPr="004614CC" w:rsidRDefault="009766EF" w:rsidP="00692968">
      <w:pPr>
        <w:autoSpaceDE w:val="0"/>
        <w:autoSpaceDN w:val="0"/>
        <w:adjustRightInd w:val="0"/>
        <w:spacing w:after="0"/>
        <w:rPr>
          <w:rFonts w:ascii="Arial" w:hAnsi="Arial" w:cs="Arial"/>
          <w:bCs/>
          <w:sz w:val="20"/>
          <w:szCs w:val="20"/>
          <w:u w:val="single"/>
        </w:rPr>
      </w:pPr>
    </w:p>
    <w:p w:rsidR="00BE766B" w:rsidRPr="004614CC" w:rsidRDefault="009766EF" w:rsidP="00D95CF3">
      <w:pPr>
        <w:spacing w:after="0"/>
        <w:rPr>
          <w:rFonts w:ascii="Arial" w:hAnsi="Arial" w:cs="Arial"/>
          <w:bCs/>
          <w:sz w:val="20"/>
          <w:szCs w:val="20"/>
          <w:u w:val="single"/>
        </w:rPr>
      </w:pPr>
      <w:r w:rsidRPr="004614CC">
        <w:rPr>
          <w:rFonts w:ascii="Arial" w:hAnsi="Arial" w:cs="Arial"/>
          <w:bCs/>
          <w:sz w:val="20"/>
          <w:szCs w:val="20"/>
          <w:u w:val="single"/>
        </w:rPr>
        <w:lastRenderedPageBreak/>
        <w:t>LPPI Global Equities Fund (GEF)</w:t>
      </w:r>
    </w:p>
    <w:p w:rsidR="00A05E4A" w:rsidRPr="004614CC" w:rsidRDefault="009766EF" w:rsidP="00EE70E7">
      <w:pPr>
        <w:pStyle w:val="ListParagraph"/>
        <w:spacing w:after="0"/>
        <w:ind w:left="0"/>
        <w:rPr>
          <w:rFonts w:ascii="Arial" w:hAnsi="Arial" w:cs="Arial"/>
          <w:u w:val="single"/>
        </w:rPr>
      </w:pPr>
    </w:p>
    <w:tbl>
      <w:tblPr>
        <w:tblW w:w="7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717"/>
      </w:tblGrid>
      <w:tr w:rsidR="00041B43" w:rsidTr="00D0369B">
        <w:trPr>
          <w:trHeight w:val="559"/>
        </w:trPr>
        <w:tc>
          <w:tcPr>
            <w:tcW w:w="6379" w:type="dxa"/>
            <w:shd w:val="clear" w:color="000000" w:fill="FFFFFF"/>
            <w:noWrap/>
            <w:vAlign w:val="center"/>
            <w:hideMark/>
          </w:tcPr>
          <w:p w:rsidR="00A05E4A" w:rsidRPr="004614CC" w:rsidRDefault="009766EF" w:rsidP="00EE70E7">
            <w:pPr>
              <w:spacing w:after="0"/>
              <w:rPr>
                <w:rFonts w:ascii="Arial" w:hAnsi="Arial" w:cs="Arial"/>
                <w:sz w:val="20"/>
                <w:szCs w:val="20"/>
              </w:rPr>
            </w:pPr>
            <w:r w:rsidRPr="004614CC">
              <w:rPr>
                <w:rFonts w:ascii="Arial" w:hAnsi="Arial" w:cs="Arial"/>
                <w:sz w:val="20"/>
                <w:szCs w:val="20"/>
              </w:rPr>
              <w:t>Total company meetings taking place</w:t>
            </w:r>
          </w:p>
        </w:tc>
        <w:tc>
          <w:tcPr>
            <w:tcW w:w="681" w:type="dxa"/>
            <w:shd w:val="clear" w:color="000000" w:fill="FFFFFF"/>
            <w:noWrap/>
            <w:vAlign w:val="center"/>
            <w:hideMark/>
          </w:tcPr>
          <w:p w:rsidR="00A05E4A" w:rsidRPr="004614CC" w:rsidRDefault="009766EF" w:rsidP="00177D2D">
            <w:pPr>
              <w:jc w:val="center"/>
              <w:rPr>
                <w:rFonts w:ascii="Arial" w:hAnsi="Arial" w:cs="Arial"/>
                <w:sz w:val="20"/>
                <w:szCs w:val="20"/>
              </w:rPr>
            </w:pPr>
            <w:r>
              <w:rPr>
                <w:rFonts w:ascii="Arial" w:hAnsi="Arial" w:cs="Arial"/>
                <w:sz w:val="20"/>
                <w:szCs w:val="20"/>
              </w:rPr>
              <w:t>356</w:t>
            </w:r>
          </w:p>
        </w:tc>
      </w:tr>
      <w:tr w:rsidR="00041B43" w:rsidTr="00D0369B">
        <w:trPr>
          <w:trHeight w:val="559"/>
        </w:trPr>
        <w:tc>
          <w:tcPr>
            <w:tcW w:w="6379" w:type="dxa"/>
            <w:shd w:val="clear" w:color="000000" w:fill="FFFFFF"/>
            <w:noWrap/>
            <w:vAlign w:val="center"/>
            <w:hideMark/>
          </w:tcPr>
          <w:p w:rsidR="00A05E4A" w:rsidRPr="004614CC" w:rsidRDefault="009766EF" w:rsidP="00EE70E7">
            <w:pPr>
              <w:spacing w:after="0"/>
              <w:rPr>
                <w:rFonts w:ascii="Arial" w:hAnsi="Arial" w:cs="Arial"/>
                <w:sz w:val="20"/>
                <w:szCs w:val="20"/>
              </w:rPr>
            </w:pPr>
            <w:r w:rsidRPr="004614CC">
              <w:rPr>
                <w:rFonts w:ascii="Arial" w:hAnsi="Arial" w:cs="Arial"/>
                <w:sz w:val="20"/>
                <w:szCs w:val="20"/>
              </w:rPr>
              <w:t xml:space="preserve">Total resolutions </w:t>
            </w:r>
          </w:p>
          <w:p w:rsidR="00A05E4A" w:rsidRPr="004614CC" w:rsidRDefault="009766EF" w:rsidP="00EE70E7">
            <w:pPr>
              <w:spacing w:after="0"/>
              <w:rPr>
                <w:rFonts w:ascii="Arial" w:hAnsi="Arial" w:cs="Arial"/>
                <w:sz w:val="20"/>
                <w:szCs w:val="20"/>
              </w:rPr>
            </w:pPr>
            <w:r w:rsidRPr="004614CC">
              <w:rPr>
                <w:rFonts w:ascii="Arial" w:hAnsi="Arial" w:cs="Arial"/>
                <w:sz w:val="20"/>
                <w:szCs w:val="20"/>
              </w:rPr>
              <w:t>(management and shareholder proposals)</w:t>
            </w:r>
          </w:p>
        </w:tc>
        <w:tc>
          <w:tcPr>
            <w:tcW w:w="681" w:type="dxa"/>
            <w:shd w:val="clear" w:color="000000" w:fill="FFFFFF"/>
            <w:noWrap/>
            <w:vAlign w:val="center"/>
            <w:hideMark/>
          </w:tcPr>
          <w:p w:rsidR="00A05E4A" w:rsidRPr="004614CC" w:rsidRDefault="009766EF" w:rsidP="00177D2D">
            <w:pPr>
              <w:jc w:val="center"/>
              <w:rPr>
                <w:rFonts w:ascii="Arial" w:hAnsi="Arial" w:cs="Arial"/>
                <w:sz w:val="20"/>
                <w:szCs w:val="20"/>
              </w:rPr>
            </w:pPr>
            <w:r>
              <w:rPr>
                <w:rFonts w:ascii="Arial" w:hAnsi="Arial" w:cs="Arial"/>
                <w:sz w:val="20"/>
                <w:szCs w:val="20"/>
              </w:rPr>
              <w:t>4,819</w:t>
            </w:r>
          </w:p>
        </w:tc>
      </w:tr>
      <w:tr w:rsidR="00041B43" w:rsidTr="00D0369B">
        <w:trPr>
          <w:trHeight w:val="559"/>
        </w:trPr>
        <w:tc>
          <w:tcPr>
            <w:tcW w:w="6379" w:type="dxa"/>
            <w:shd w:val="clear" w:color="000000" w:fill="FFFFFF"/>
            <w:noWrap/>
            <w:vAlign w:val="center"/>
            <w:hideMark/>
          </w:tcPr>
          <w:p w:rsidR="00A05E4A" w:rsidRPr="004614CC" w:rsidRDefault="009766EF" w:rsidP="00EE70E7">
            <w:pPr>
              <w:spacing w:after="0"/>
              <w:rPr>
                <w:rFonts w:ascii="Arial" w:hAnsi="Arial" w:cs="Arial"/>
                <w:sz w:val="20"/>
                <w:szCs w:val="20"/>
              </w:rPr>
            </w:pPr>
            <w:r w:rsidRPr="004614CC">
              <w:rPr>
                <w:rFonts w:ascii="Arial" w:hAnsi="Arial" w:cs="Arial"/>
                <w:sz w:val="20"/>
                <w:szCs w:val="20"/>
              </w:rPr>
              <w:t>Total company proposals in the period</w:t>
            </w:r>
          </w:p>
        </w:tc>
        <w:tc>
          <w:tcPr>
            <w:tcW w:w="681" w:type="dxa"/>
            <w:shd w:val="clear" w:color="000000" w:fill="FFFFFF"/>
            <w:noWrap/>
            <w:vAlign w:val="center"/>
            <w:hideMark/>
          </w:tcPr>
          <w:p w:rsidR="00A05E4A" w:rsidRPr="004614CC" w:rsidRDefault="009766EF" w:rsidP="00177D2D">
            <w:pPr>
              <w:jc w:val="center"/>
              <w:rPr>
                <w:rFonts w:ascii="Arial" w:hAnsi="Arial" w:cs="Arial"/>
                <w:sz w:val="20"/>
                <w:szCs w:val="20"/>
              </w:rPr>
            </w:pPr>
            <w:r>
              <w:rPr>
                <w:rFonts w:ascii="Arial" w:hAnsi="Arial" w:cs="Arial"/>
                <w:sz w:val="20"/>
                <w:szCs w:val="20"/>
              </w:rPr>
              <w:t>4,641</w:t>
            </w:r>
          </w:p>
        </w:tc>
      </w:tr>
      <w:tr w:rsidR="00041B43" w:rsidTr="00D0369B">
        <w:trPr>
          <w:trHeight w:val="559"/>
        </w:trPr>
        <w:tc>
          <w:tcPr>
            <w:tcW w:w="6379" w:type="dxa"/>
            <w:shd w:val="clear" w:color="000000" w:fill="FFFFFF"/>
            <w:noWrap/>
            <w:vAlign w:val="center"/>
            <w:hideMark/>
          </w:tcPr>
          <w:p w:rsidR="00A05E4A" w:rsidRPr="004614CC" w:rsidRDefault="009766EF" w:rsidP="00EE70E7">
            <w:pPr>
              <w:spacing w:after="0"/>
              <w:rPr>
                <w:rFonts w:ascii="Arial" w:hAnsi="Arial" w:cs="Arial"/>
                <w:sz w:val="20"/>
                <w:szCs w:val="20"/>
              </w:rPr>
            </w:pPr>
            <w:r w:rsidRPr="004614CC">
              <w:rPr>
                <w:rFonts w:ascii="Arial" w:hAnsi="Arial" w:cs="Arial"/>
                <w:sz w:val="20"/>
                <w:szCs w:val="20"/>
              </w:rPr>
              <w:t>Total shareholder proposals in the period</w:t>
            </w:r>
          </w:p>
        </w:tc>
        <w:tc>
          <w:tcPr>
            <w:tcW w:w="681" w:type="dxa"/>
            <w:shd w:val="clear" w:color="000000" w:fill="FFFFFF"/>
            <w:noWrap/>
            <w:vAlign w:val="center"/>
            <w:hideMark/>
          </w:tcPr>
          <w:p w:rsidR="00A05E4A" w:rsidRPr="004614CC" w:rsidRDefault="009766EF" w:rsidP="00177D2D">
            <w:pPr>
              <w:jc w:val="center"/>
              <w:rPr>
                <w:rFonts w:ascii="Arial" w:hAnsi="Arial" w:cs="Arial"/>
                <w:sz w:val="20"/>
                <w:szCs w:val="20"/>
              </w:rPr>
            </w:pPr>
            <w:r>
              <w:rPr>
                <w:rFonts w:ascii="Arial" w:hAnsi="Arial" w:cs="Arial"/>
                <w:sz w:val="20"/>
                <w:szCs w:val="20"/>
              </w:rPr>
              <w:t>178</w:t>
            </w:r>
          </w:p>
        </w:tc>
      </w:tr>
    </w:tbl>
    <w:p w:rsidR="00A05E4A" w:rsidRPr="004614CC" w:rsidRDefault="009766EF" w:rsidP="00EE70E7">
      <w:pPr>
        <w:spacing w:after="0"/>
        <w:rPr>
          <w:rFonts w:ascii="Arial" w:hAnsi="Arial" w:cs="Arial"/>
          <w:highlight w:val="yellow"/>
          <w:u w:val="single"/>
        </w:rPr>
      </w:pPr>
    </w:p>
    <w:p w:rsidR="00A05E4A" w:rsidRPr="004614CC" w:rsidRDefault="009766EF" w:rsidP="00EE70E7">
      <w:pPr>
        <w:autoSpaceDE w:val="0"/>
        <w:autoSpaceDN w:val="0"/>
        <w:adjustRightInd w:val="0"/>
        <w:spacing w:after="0"/>
        <w:rPr>
          <w:rFonts w:ascii="Arial" w:hAnsi="Arial" w:cs="Arial"/>
          <w:bCs/>
          <w:sz w:val="20"/>
          <w:szCs w:val="20"/>
        </w:rPr>
      </w:pPr>
      <w:r w:rsidRPr="004614CC">
        <w:rPr>
          <w:rFonts w:ascii="Arial" w:hAnsi="Arial" w:cs="Arial"/>
          <w:bCs/>
          <w:sz w:val="20"/>
          <w:szCs w:val="20"/>
        </w:rPr>
        <w:t>Company Proposals</w:t>
      </w:r>
    </w:p>
    <w:tbl>
      <w:tblPr>
        <w:tblW w:w="7287" w:type="dxa"/>
        <w:tblInd w:w="-5" w:type="dxa"/>
        <w:tblLook w:val="04A0" w:firstRow="1" w:lastRow="0" w:firstColumn="1" w:lastColumn="0" w:noHBand="0" w:noVBand="1"/>
      </w:tblPr>
      <w:tblGrid>
        <w:gridCol w:w="5812"/>
        <w:gridCol w:w="717"/>
        <w:gridCol w:w="758"/>
      </w:tblGrid>
      <w:tr w:rsidR="00041B43" w:rsidTr="00965079">
        <w:trPr>
          <w:trHeight w:val="270"/>
        </w:trPr>
        <w:tc>
          <w:tcPr>
            <w:tcW w:w="58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E4A" w:rsidRPr="004614CC" w:rsidRDefault="009766EF" w:rsidP="00EE70E7">
            <w:pPr>
              <w:spacing w:after="0"/>
              <w:rPr>
                <w:rFonts w:ascii="Arial" w:hAnsi="Arial" w:cs="Arial"/>
                <w:sz w:val="20"/>
                <w:szCs w:val="20"/>
              </w:rPr>
            </w:pPr>
            <w:r w:rsidRPr="004614CC">
              <w:rPr>
                <w:rFonts w:ascii="Arial" w:hAnsi="Arial" w:cs="Arial"/>
                <w:sz w:val="20"/>
                <w:szCs w:val="20"/>
              </w:rPr>
              <w:t>Voting Supported Management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E4A" w:rsidRPr="004614CC" w:rsidRDefault="009766EF" w:rsidP="00EE70E7">
            <w:pPr>
              <w:spacing w:after="0"/>
              <w:jc w:val="center"/>
              <w:rPr>
                <w:rFonts w:ascii="Arial" w:hAnsi="Arial" w:cs="Arial"/>
                <w:sz w:val="20"/>
                <w:szCs w:val="20"/>
              </w:rPr>
            </w:pPr>
            <w:r>
              <w:rPr>
                <w:rFonts w:ascii="Arial" w:hAnsi="Arial" w:cs="Arial"/>
                <w:sz w:val="20"/>
                <w:szCs w:val="20"/>
              </w:rPr>
              <w:t>4,161</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E4A" w:rsidRPr="004614CC" w:rsidRDefault="009766EF" w:rsidP="00B13826">
            <w:pPr>
              <w:spacing w:after="0"/>
              <w:jc w:val="right"/>
              <w:rPr>
                <w:rFonts w:ascii="Arial" w:hAnsi="Arial" w:cs="Arial"/>
                <w:sz w:val="20"/>
                <w:szCs w:val="20"/>
              </w:rPr>
            </w:pPr>
            <w:r w:rsidRPr="004614CC">
              <w:rPr>
                <w:rFonts w:ascii="Arial" w:hAnsi="Arial" w:cs="Arial"/>
                <w:sz w:val="20"/>
                <w:szCs w:val="20"/>
              </w:rPr>
              <w:t>9</w:t>
            </w:r>
            <w:r>
              <w:rPr>
                <w:rFonts w:ascii="Arial" w:hAnsi="Arial" w:cs="Arial"/>
                <w:sz w:val="20"/>
                <w:szCs w:val="20"/>
              </w:rPr>
              <w:t>0</w:t>
            </w:r>
            <w:r w:rsidRPr="004614CC">
              <w:rPr>
                <w:rFonts w:ascii="Arial" w:hAnsi="Arial" w:cs="Arial"/>
                <w:sz w:val="20"/>
                <w:szCs w:val="20"/>
              </w:rPr>
              <w:t>%</w:t>
            </w:r>
          </w:p>
        </w:tc>
      </w:tr>
      <w:tr w:rsidR="00041B43" w:rsidTr="00965079">
        <w:trPr>
          <w:trHeight w:val="270"/>
        </w:trPr>
        <w:tc>
          <w:tcPr>
            <w:tcW w:w="581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A05E4A" w:rsidRPr="004614CC" w:rsidRDefault="009766EF" w:rsidP="00EE70E7">
            <w:pPr>
              <w:spacing w:after="0"/>
              <w:rPr>
                <w:rFonts w:ascii="Arial" w:hAnsi="Arial" w:cs="Arial"/>
                <w:sz w:val="20"/>
                <w:szCs w:val="20"/>
              </w:rPr>
            </w:pPr>
            <w:r w:rsidRPr="004614CC">
              <w:rPr>
                <w:rFonts w:ascii="Arial" w:hAnsi="Arial" w:cs="Arial"/>
                <w:sz w:val="20"/>
                <w:szCs w:val="20"/>
              </w:rPr>
              <w:t>Voting Opposed Management</w:t>
            </w:r>
          </w:p>
        </w:tc>
        <w:tc>
          <w:tcPr>
            <w:tcW w:w="709" w:type="dxa"/>
            <w:tcBorders>
              <w:top w:val="single" w:sz="4" w:space="0" w:color="auto"/>
              <w:left w:val="nil"/>
              <w:bottom w:val="single" w:sz="8" w:space="0" w:color="auto"/>
              <w:right w:val="single" w:sz="8" w:space="0" w:color="auto"/>
            </w:tcBorders>
            <w:shd w:val="clear" w:color="000000" w:fill="FFFFFF"/>
            <w:noWrap/>
            <w:vAlign w:val="center"/>
            <w:hideMark/>
          </w:tcPr>
          <w:p w:rsidR="00A05E4A" w:rsidRPr="004614CC" w:rsidRDefault="009766EF" w:rsidP="00EE70E7">
            <w:pPr>
              <w:spacing w:after="0"/>
              <w:jc w:val="center"/>
              <w:rPr>
                <w:rFonts w:ascii="Arial" w:hAnsi="Arial" w:cs="Arial"/>
                <w:sz w:val="20"/>
                <w:szCs w:val="20"/>
              </w:rPr>
            </w:pPr>
            <w:r>
              <w:rPr>
                <w:rFonts w:ascii="Arial" w:hAnsi="Arial" w:cs="Arial"/>
                <w:sz w:val="20"/>
                <w:szCs w:val="20"/>
              </w:rPr>
              <w:t>480</w:t>
            </w:r>
          </w:p>
        </w:tc>
        <w:tc>
          <w:tcPr>
            <w:tcW w:w="766" w:type="dxa"/>
            <w:tcBorders>
              <w:top w:val="single" w:sz="4" w:space="0" w:color="auto"/>
              <w:left w:val="nil"/>
              <w:bottom w:val="single" w:sz="8" w:space="0" w:color="auto"/>
              <w:right w:val="single" w:sz="8" w:space="0" w:color="auto"/>
            </w:tcBorders>
            <w:shd w:val="clear" w:color="000000" w:fill="FFFFFF"/>
            <w:vAlign w:val="center"/>
            <w:hideMark/>
          </w:tcPr>
          <w:p w:rsidR="00A05E4A" w:rsidRPr="004614CC" w:rsidRDefault="009766EF" w:rsidP="00B13826">
            <w:pPr>
              <w:spacing w:after="0"/>
              <w:jc w:val="right"/>
              <w:rPr>
                <w:rFonts w:ascii="Arial" w:hAnsi="Arial" w:cs="Arial"/>
                <w:sz w:val="20"/>
                <w:szCs w:val="20"/>
              </w:rPr>
            </w:pPr>
            <w:r>
              <w:rPr>
                <w:rFonts w:ascii="Arial" w:hAnsi="Arial" w:cs="Arial"/>
                <w:sz w:val="20"/>
                <w:szCs w:val="20"/>
              </w:rPr>
              <w:t>10</w:t>
            </w:r>
            <w:r w:rsidRPr="004614CC">
              <w:rPr>
                <w:rFonts w:ascii="Arial" w:hAnsi="Arial" w:cs="Arial"/>
                <w:sz w:val="20"/>
                <w:szCs w:val="20"/>
              </w:rPr>
              <w:t>%</w:t>
            </w:r>
          </w:p>
        </w:tc>
      </w:tr>
    </w:tbl>
    <w:p w:rsidR="00A05E4A" w:rsidRPr="004614CC" w:rsidRDefault="009766EF" w:rsidP="00EE70E7">
      <w:pPr>
        <w:spacing w:after="0"/>
        <w:rPr>
          <w:rFonts w:ascii="Arial" w:hAnsi="Arial" w:cs="Arial"/>
          <w:sz w:val="20"/>
          <w:szCs w:val="20"/>
          <w:u w:val="single"/>
        </w:rPr>
      </w:pPr>
    </w:p>
    <w:p w:rsidR="00A05E4A" w:rsidRPr="004614CC" w:rsidRDefault="009766EF" w:rsidP="00EE70E7">
      <w:pPr>
        <w:autoSpaceDE w:val="0"/>
        <w:autoSpaceDN w:val="0"/>
        <w:adjustRightInd w:val="0"/>
        <w:spacing w:after="0"/>
        <w:rPr>
          <w:rFonts w:ascii="Arial" w:hAnsi="Arial" w:cs="Arial"/>
          <w:bCs/>
          <w:sz w:val="20"/>
          <w:szCs w:val="20"/>
        </w:rPr>
      </w:pPr>
      <w:r w:rsidRPr="004614CC">
        <w:rPr>
          <w:rFonts w:ascii="Arial" w:hAnsi="Arial" w:cs="Arial"/>
          <w:bCs/>
          <w:sz w:val="20"/>
          <w:szCs w:val="20"/>
        </w:rPr>
        <w:t>Shareholder Proposals</w:t>
      </w:r>
    </w:p>
    <w:tbl>
      <w:tblPr>
        <w:tblW w:w="7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709"/>
        <w:gridCol w:w="827"/>
      </w:tblGrid>
      <w:tr w:rsidR="00041B43" w:rsidTr="00965079">
        <w:trPr>
          <w:trHeight w:val="270"/>
        </w:trPr>
        <w:tc>
          <w:tcPr>
            <w:tcW w:w="5812" w:type="dxa"/>
            <w:shd w:val="clear" w:color="000000" w:fill="FFFFFF"/>
            <w:noWrap/>
            <w:vAlign w:val="center"/>
            <w:hideMark/>
          </w:tcPr>
          <w:p w:rsidR="00A05E4A" w:rsidRPr="004614CC" w:rsidRDefault="009766EF" w:rsidP="00EE70E7">
            <w:pPr>
              <w:spacing w:after="0"/>
              <w:rPr>
                <w:rFonts w:ascii="Arial" w:hAnsi="Arial" w:cs="Arial"/>
                <w:sz w:val="20"/>
                <w:szCs w:val="20"/>
              </w:rPr>
            </w:pPr>
            <w:r w:rsidRPr="004614CC">
              <w:rPr>
                <w:rFonts w:ascii="Arial" w:hAnsi="Arial" w:cs="Arial"/>
                <w:sz w:val="20"/>
                <w:szCs w:val="20"/>
              </w:rPr>
              <w:t>Shareholder proposals supported by LPPI</w:t>
            </w:r>
          </w:p>
        </w:tc>
        <w:tc>
          <w:tcPr>
            <w:tcW w:w="709" w:type="dxa"/>
            <w:shd w:val="clear" w:color="000000" w:fill="FFFFFF"/>
            <w:noWrap/>
            <w:vAlign w:val="center"/>
            <w:hideMark/>
          </w:tcPr>
          <w:p w:rsidR="00A05E4A" w:rsidRPr="004614CC" w:rsidRDefault="009766EF" w:rsidP="00EE70E7">
            <w:pPr>
              <w:spacing w:after="0"/>
              <w:jc w:val="center"/>
              <w:rPr>
                <w:rFonts w:ascii="Arial" w:hAnsi="Arial" w:cs="Arial"/>
                <w:sz w:val="20"/>
                <w:szCs w:val="20"/>
              </w:rPr>
            </w:pPr>
            <w:r>
              <w:rPr>
                <w:rFonts w:ascii="Arial" w:hAnsi="Arial" w:cs="Arial"/>
                <w:sz w:val="20"/>
                <w:szCs w:val="20"/>
              </w:rPr>
              <w:t>130</w:t>
            </w:r>
          </w:p>
        </w:tc>
        <w:tc>
          <w:tcPr>
            <w:tcW w:w="827" w:type="dxa"/>
            <w:shd w:val="clear" w:color="000000" w:fill="FFFFFF"/>
            <w:vAlign w:val="center"/>
            <w:hideMark/>
          </w:tcPr>
          <w:p w:rsidR="00A05E4A" w:rsidRPr="004614CC" w:rsidRDefault="009766EF" w:rsidP="00B13826">
            <w:pPr>
              <w:spacing w:after="0"/>
              <w:jc w:val="right"/>
              <w:rPr>
                <w:rFonts w:ascii="Arial" w:hAnsi="Arial" w:cs="Arial"/>
                <w:sz w:val="20"/>
                <w:szCs w:val="20"/>
              </w:rPr>
            </w:pPr>
            <w:r>
              <w:rPr>
                <w:rFonts w:ascii="Arial" w:hAnsi="Arial" w:cs="Arial"/>
                <w:sz w:val="20"/>
                <w:szCs w:val="20"/>
              </w:rPr>
              <w:t>73</w:t>
            </w:r>
            <w:r w:rsidRPr="004614CC">
              <w:rPr>
                <w:rFonts w:ascii="Arial" w:hAnsi="Arial" w:cs="Arial"/>
                <w:sz w:val="20"/>
                <w:szCs w:val="20"/>
              </w:rPr>
              <w:t>%</w:t>
            </w:r>
          </w:p>
        </w:tc>
      </w:tr>
      <w:tr w:rsidR="00041B43" w:rsidTr="00965079">
        <w:trPr>
          <w:trHeight w:val="270"/>
        </w:trPr>
        <w:tc>
          <w:tcPr>
            <w:tcW w:w="5812" w:type="dxa"/>
            <w:shd w:val="clear" w:color="000000" w:fill="FFFFFF"/>
            <w:noWrap/>
            <w:vAlign w:val="center"/>
            <w:hideMark/>
          </w:tcPr>
          <w:p w:rsidR="00A05E4A" w:rsidRPr="004614CC" w:rsidRDefault="009766EF" w:rsidP="00EE70E7">
            <w:pPr>
              <w:spacing w:after="0"/>
              <w:rPr>
                <w:rFonts w:ascii="Arial" w:hAnsi="Arial" w:cs="Arial"/>
                <w:sz w:val="20"/>
                <w:szCs w:val="20"/>
              </w:rPr>
            </w:pPr>
            <w:r w:rsidRPr="004614CC">
              <w:rPr>
                <w:rFonts w:ascii="Arial" w:hAnsi="Arial" w:cs="Arial"/>
                <w:sz w:val="20"/>
                <w:szCs w:val="20"/>
              </w:rPr>
              <w:t>Votes against shareholder proposals</w:t>
            </w:r>
          </w:p>
        </w:tc>
        <w:tc>
          <w:tcPr>
            <w:tcW w:w="709" w:type="dxa"/>
            <w:shd w:val="clear" w:color="000000" w:fill="FFFFFF"/>
            <w:noWrap/>
            <w:vAlign w:val="center"/>
            <w:hideMark/>
          </w:tcPr>
          <w:p w:rsidR="00A05E4A" w:rsidRPr="004614CC" w:rsidRDefault="009766EF" w:rsidP="00EE70E7">
            <w:pPr>
              <w:spacing w:after="0"/>
              <w:jc w:val="center"/>
              <w:rPr>
                <w:rFonts w:ascii="Arial" w:hAnsi="Arial" w:cs="Arial"/>
                <w:sz w:val="20"/>
                <w:szCs w:val="20"/>
              </w:rPr>
            </w:pPr>
            <w:r>
              <w:rPr>
                <w:rFonts w:ascii="Arial" w:hAnsi="Arial" w:cs="Arial"/>
                <w:sz w:val="20"/>
                <w:szCs w:val="20"/>
              </w:rPr>
              <w:t>48</w:t>
            </w:r>
          </w:p>
        </w:tc>
        <w:tc>
          <w:tcPr>
            <w:tcW w:w="827" w:type="dxa"/>
            <w:shd w:val="clear" w:color="auto" w:fill="auto"/>
            <w:noWrap/>
            <w:hideMark/>
          </w:tcPr>
          <w:p w:rsidR="00A05E4A" w:rsidRPr="004614CC" w:rsidRDefault="009766EF" w:rsidP="00B13826">
            <w:pPr>
              <w:spacing w:after="0"/>
              <w:jc w:val="right"/>
              <w:rPr>
                <w:rFonts w:ascii="Arial" w:hAnsi="Arial" w:cs="Arial"/>
                <w:sz w:val="20"/>
                <w:szCs w:val="20"/>
              </w:rPr>
            </w:pPr>
            <w:r>
              <w:rPr>
                <w:rFonts w:ascii="Arial" w:hAnsi="Arial" w:cs="Arial"/>
                <w:sz w:val="20"/>
                <w:szCs w:val="20"/>
              </w:rPr>
              <w:t>27</w:t>
            </w:r>
            <w:r w:rsidRPr="004614CC">
              <w:rPr>
                <w:rFonts w:ascii="Arial" w:hAnsi="Arial" w:cs="Arial"/>
                <w:sz w:val="20"/>
                <w:szCs w:val="20"/>
              </w:rPr>
              <w:t>%</w:t>
            </w:r>
          </w:p>
        </w:tc>
      </w:tr>
    </w:tbl>
    <w:p w:rsidR="000342B3" w:rsidRPr="004614CC" w:rsidRDefault="009766EF" w:rsidP="00EA4636">
      <w:pPr>
        <w:autoSpaceDE w:val="0"/>
        <w:autoSpaceDN w:val="0"/>
        <w:adjustRightInd w:val="0"/>
        <w:spacing w:after="0"/>
        <w:rPr>
          <w:rFonts w:ascii="Arial" w:hAnsi="Arial" w:cs="Arial"/>
          <w:sz w:val="20"/>
          <w:szCs w:val="20"/>
        </w:rPr>
      </w:pPr>
    </w:p>
    <w:p w:rsidR="007A0097" w:rsidRDefault="009766EF" w:rsidP="00EA4636">
      <w:pPr>
        <w:autoSpaceDE w:val="0"/>
        <w:autoSpaceDN w:val="0"/>
        <w:adjustRightInd w:val="0"/>
        <w:spacing w:after="0"/>
        <w:rPr>
          <w:rFonts w:ascii="Arial" w:hAnsi="Arial" w:cs="Arial"/>
          <w:noProof/>
        </w:rPr>
      </w:pPr>
      <w:r w:rsidRPr="004614CC">
        <w:rPr>
          <w:rFonts w:ascii="Arial" w:hAnsi="Arial" w:cs="Arial"/>
          <w:sz w:val="20"/>
          <w:szCs w:val="20"/>
        </w:rPr>
        <w:t xml:space="preserve">The following table summarises resolutions by type and indicates </w:t>
      </w:r>
      <w:r w:rsidRPr="004614CC">
        <w:rPr>
          <w:rFonts w:ascii="Arial" w:hAnsi="Arial" w:cs="Arial"/>
          <w:bCs/>
          <w:sz w:val="20"/>
          <w:szCs w:val="20"/>
        </w:rPr>
        <w:t>where opposition voting was concentrated</w:t>
      </w:r>
      <w:r w:rsidRPr="004614CC">
        <w:rPr>
          <w:rFonts w:ascii="Arial" w:hAnsi="Arial" w:cs="Arial"/>
          <w:sz w:val="20"/>
          <w:szCs w:val="20"/>
        </w:rPr>
        <w:t xml:space="preserve"> </w:t>
      </w:r>
      <w:r w:rsidRPr="004614CC">
        <w:rPr>
          <w:rFonts w:ascii="Arial" w:hAnsi="Arial" w:cs="Arial"/>
          <w:bCs/>
          <w:sz w:val="20"/>
          <w:szCs w:val="20"/>
        </w:rPr>
        <w:t>in Q</w:t>
      </w:r>
      <w:r>
        <w:rPr>
          <w:rFonts w:ascii="Arial" w:hAnsi="Arial" w:cs="Arial"/>
          <w:bCs/>
          <w:sz w:val="20"/>
          <w:szCs w:val="20"/>
        </w:rPr>
        <w:t>2</w:t>
      </w:r>
      <w:r w:rsidRPr="004614CC">
        <w:rPr>
          <w:rFonts w:ascii="Arial" w:hAnsi="Arial" w:cs="Arial"/>
          <w:bCs/>
          <w:sz w:val="20"/>
          <w:szCs w:val="20"/>
        </w:rPr>
        <w:t>.</w:t>
      </w:r>
      <w:r w:rsidRPr="004614CC">
        <w:rPr>
          <w:rFonts w:ascii="Arial" w:hAnsi="Arial" w:cs="Arial"/>
          <w:noProof/>
        </w:rPr>
        <w:t xml:space="preserve"> </w:t>
      </w:r>
    </w:p>
    <w:p w:rsidR="007A0097" w:rsidRDefault="009766EF" w:rsidP="00EA4636">
      <w:pPr>
        <w:autoSpaceDE w:val="0"/>
        <w:autoSpaceDN w:val="0"/>
        <w:adjustRightInd w:val="0"/>
        <w:spacing w:after="0"/>
        <w:rPr>
          <w:rFonts w:ascii="Arial" w:hAnsi="Arial" w:cs="Arial"/>
          <w:noProof/>
        </w:rPr>
      </w:pPr>
      <w:r w:rsidRPr="007A0097">
        <w:rPr>
          <w:noProof/>
          <w:lang w:eastAsia="en-GB"/>
        </w:rPr>
        <w:drawing>
          <wp:inline distT="0" distB="0" distL="0" distR="0">
            <wp:extent cx="4214191" cy="35636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40854" cy="3586176"/>
                    </a:xfrm>
                    <a:prstGeom prst="rect">
                      <a:avLst/>
                    </a:prstGeom>
                  </pic:spPr>
                </pic:pic>
              </a:graphicData>
            </a:graphic>
          </wp:inline>
        </w:drawing>
      </w:r>
    </w:p>
    <w:p w:rsidR="00896081" w:rsidRDefault="009766EF" w:rsidP="00EA4636">
      <w:pPr>
        <w:autoSpaceDE w:val="0"/>
        <w:autoSpaceDN w:val="0"/>
        <w:adjustRightInd w:val="0"/>
        <w:spacing w:after="0"/>
        <w:rPr>
          <w:rFonts w:ascii="Arial" w:hAnsi="Arial" w:cs="Arial"/>
          <w:noProof/>
        </w:rPr>
      </w:pPr>
    </w:p>
    <w:p w:rsidR="007D6EFE" w:rsidRPr="007A0097" w:rsidRDefault="009766EF" w:rsidP="007A0097">
      <w:pPr>
        <w:autoSpaceDE w:val="0"/>
        <w:autoSpaceDN w:val="0"/>
        <w:adjustRightInd w:val="0"/>
        <w:spacing w:after="0"/>
        <w:rPr>
          <w:rFonts w:ascii="Arial" w:hAnsi="Arial" w:cs="Arial"/>
          <w:noProof/>
        </w:rPr>
      </w:pPr>
      <w:r w:rsidRPr="004614CC">
        <w:rPr>
          <w:rFonts w:ascii="Arial" w:hAnsi="Arial" w:cs="Arial"/>
          <w:bCs/>
          <w:sz w:val="20"/>
          <w:szCs w:val="20"/>
        </w:rPr>
        <w:t xml:space="preserve">LPPI voted against or withheld support for management proposals in </w:t>
      </w:r>
      <w:r>
        <w:rPr>
          <w:rFonts w:ascii="Arial" w:hAnsi="Arial" w:cs="Arial"/>
          <w:bCs/>
          <w:sz w:val="20"/>
          <w:szCs w:val="20"/>
        </w:rPr>
        <w:t xml:space="preserve">480 </w:t>
      </w:r>
      <w:r w:rsidRPr="004614CC">
        <w:rPr>
          <w:rFonts w:ascii="Arial" w:hAnsi="Arial" w:cs="Arial"/>
          <w:bCs/>
          <w:sz w:val="20"/>
          <w:szCs w:val="20"/>
        </w:rPr>
        <w:t xml:space="preserve">instances (across </w:t>
      </w:r>
      <w:r>
        <w:rPr>
          <w:rFonts w:ascii="Arial" w:hAnsi="Arial" w:cs="Arial"/>
          <w:bCs/>
          <w:sz w:val="20"/>
          <w:szCs w:val="20"/>
        </w:rPr>
        <w:t xml:space="preserve">144 </w:t>
      </w:r>
      <w:r w:rsidRPr="004614CC">
        <w:rPr>
          <w:rFonts w:ascii="Arial" w:hAnsi="Arial" w:cs="Arial"/>
          <w:bCs/>
          <w:sz w:val="20"/>
          <w:szCs w:val="20"/>
        </w:rPr>
        <w:t>company meetings</w:t>
      </w:r>
      <w:r>
        <w:rPr>
          <w:rFonts w:ascii="Arial" w:hAnsi="Arial" w:cs="Arial"/>
          <w:bCs/>
          <w:sz w:val="20"/>
          <w:szCs w:val="20"/>
        </w:rPr>
        <w:t>)</w:t>
      </w:r>
      <w:r w:rsidRPr="004614CC">
        <w:rPr>
          <w:rFonts w:ascii="Arial" w:hAnsi="Arial" w:cs="Arial"/>
          <w:bCs/>
          <w:sz w:val="20"/>
          <w:szCs w:val="20"/>
        </w:rPr>
        <w:t xml:space="preserve">. </w:t>
      </w:r>
    </w:p>
    <w:p w:rsidR="009D678E" w:rsidRPr="004614CC" w:rsidRDefault="009766EF" w:rsidP="009D678E">
      <w:pPr>
        <w:autoSpaceDE w:val="0"/>
        <w:autoSpaceDN w:val="0"/>
        <w:adjustRightInd w:val="0"/>
        <w:spacing w:after="0"/>
        <w:rPr>
          <w:rFonts w:ascii="Arial" w:hAnsi="Arial" w:cs="Arial"/>
          <w:bCs/>
          <w:sz w:val="20"/>
          <w:szCs w:val="20"/>
        </w:rPr>
      </w:pPr>
    </w:p>
    <w:p w:rsidR="003821CD" w:rsidRDefault="009766EF" w:rsidP="009D678E">
      <w:pPr>
        <w:autoSpaceDE w:val="0"/>
        <w:autoSpaceDN w:val="0"/>
        <w:adjustRightInd w:val="0"/>
        <w:spacing w:after="0"/>
        <w:rPr>
          <w:rFonts w:ascii="Arial" w:hAnsi="Arial" w:cs="Arial"/>
          <w:bCs/>
          <w:sz w:val="20"/>
          <w:szCs w:val="20"/>
        </w:rPr>
      </w:pPr>
      <w:r w:rsidRPr="004614CC">
        <w:rPr>
          <w:rFonts w:ascii="Arial" w:hAnsi="Arial" w:cs="Arial"/>
          <w:bCs/>
          <w:sz w:val="20"/>
          <w:szCs w:val="20"/>
        </w:rPr>
        <w:t xml:space="preserve">This included opposing </w:t>
      </w:r>
      <w:r>
        <w:rPr>
          <w:rFonts w:ascii="Arial" w:hAnsi="Arial" w:cs="Arial"/>
          <w:bCs/>
          <w:sz w:val="20"/>
          <w:szCs w:val="20"/>
        </w:rPr>
        <w:t>19</w:t>
      </w:r>
      <w:r>
        <w:rPr>
          <w:rFonts w:ascii="Arial" w:hAnsi="Arial" w:cs="Arial"/>
          <w:bCs/>
          <w:sz w:val="20"/>
          <w:szCs w:val="20"/>
        </w:rPr>
        <w:t xml:space="preserve">6 management proposals connected with </w:t>
      </w:r>
      <w:r w:rsidRPr="004614CC">
        <w:rPr>
          <w:rFonts w:ascii="Arial" w:hAnsi="Arial" w:cs="Arial"/>
          <w:bCs/>
          <w:sz w:val="20"/>
          <w:szCs w:val="20"/>
        </w:rPr>
        <w:t>the election / re-election of directors</w:t>
      </w:r>
      <w:r>
        <w:rPr>
          <w:rFonts w:ascii="Arial" w:hAnsi="Arial" w:cs="Arial"/>
          <w:bCs/>
          <w:sz w:val="20"/>
          <w:szCs w:val="20"/>
        </w:rPr>
        <w:t xml:space="preserve"> or with the appointment of statutory auditors</w:t>
      </w:r>
      <w:r w:rsidRPr="004614CC">
        <w:rPr>
          <w:rFonts w:ascii="Arial" w:hAnsi="Arial" w:cs="Arial"/>
          <w:bCs/>
          <w:sz w:val="20"/>
          <w:szCs w:val="20"/>
        </w:rPr>
        <w:t xml:space="preserve">. </w:t>
      </w:r>
    </w:p>
    <w:p w:rsidR="003821CD" w:rsidRDefault="009766EF" w:rsidP="009D678E">
      <w:pPr>
        <w:autoSpaceDE w:val="0"/>
        <w:autoSpaceDN w:val="0"/>
        <w:adjustRightInd w:val="0"/>
        <w:spacing w:after="0"/>
        <w:rPr>
          <w:rFonts w:ascii="Arial" w:hAnsi="Arial" w:cs="Arial"/>
          <w:bCs/>
          <w:sz w:val="20"/>
          <w:szCs w:val="20"/>
        </w:rPr>
      </w:pPr>
    </w:p>
    <w:p w:rsidR="009D678E" w:rsidRPr="004614CC" w:rsidRDefault="009766EF" w:rsidP="009D678E">
      <w:pPr>
        <w:autoSpaceDE w:val="0"/>
        <w:autoSpaceDN w:val="0"/>
        <w:adjustRightInd w:val="0"/>
        <w:spacing w:after="0"/>
        <w:rPr>
          <w:rFonts w:ascii="Arial" w:hAnsi="Arial" w:cs="Arial"/>
          <w:bCs/>
          <w:sz w:val="20"/>
          <w:szCs w:val="20"/>
        </w:rPr>
      </w:pPr>
      <w:r>
        <w:rPr>
          <w:rFonts w:ascii="Arial" w:hAnsi="Arial" w:cs="Arial"/>
          <w:bCs/>
          <w:sz w:val="20"/>
          <w:szCs w:val="20"/>
        </w:rPr>
        <w:t>Opposition v</w:t>
      </w:r>
      <w:r w:rsidRPr="004614CC">
        <w:rPr>
          <w:rFonts w:ascii="Arial" w:hAnsi="Arial" w:cs="Arial"/>
          <w:bCs/>
          <w:sz w:val="20"/>
          <w:szCs w:val="20"/>
        </w:rPr>
        <w:t xml:space="preserve">oting </w:t>
      </w:r>
      <w:r>
        <w:rPr>
          <w:rFonts w:ascii="Arial" w:hAnsi="Arial" w:cs="Arial"/>
          <w:bCs/>
          <w:sz w:val="20"/>
          <w:szCs w:val="20"/>
        </w:rPr>
        <w:t xml:space="preserve">commonly </w:t>
      </w:r>
      <w:r w:rsidRPr="004614CC">
        <w:rPr>
          <w:rFonts w:ascii="Arial" w:hAnsi="Arial" w:cs="Arial"/>
          <w:bCs/>
          <w:sz w:val="20"/>
          <w:szCs w:val="20"/>
        </w:rPr>
        <w:t xml:space="preserve">reflected concerns with the composition and independence of company boards as a whole, and with the </w:t>
      </w:r>
      <w:r w:rsidRPr="004614CC">
        <w:rPr>
          <w:rFonts w:ascii="Arial" w:hAnsi="Arial" w:cs="Arial"/>
          <w:bCs/>
          <w:sz w:val="20"/>
          <w:szCs w:val="20"/>
        </w:rPr>
        <w:t>independence of individual Board members</w:t>
      </w:r>
      <w:r>
        <w:rPr>
          <w:rFonts w:ascii="Arial" w:hAnsi="Arial" w:cs="Arial"/>
          <w:bCs/>
          <w:sz w:val="20"/>
          <w:szCs w:val="20"/>
        </w:rPr>
        <w:t xml:space="preserve"> as well as with over boarding (multiple other directorships) and an appropriate degree of detachment in the case statutory auditors</w:t>
      </w:r>
      <w:r w:rsidRPr="004614CC">
        <w:rPr>
          <w:rFonts w:ascii="Arial" w:hAnsi="Arial" w:cs="Arial"/>
          <w:bCs/>
          <w:sz w:val="20"/>
          <w:szCs w:val="20"/>
        </w:rPr>
        <w:t xml:space="preserve">. </w:t>
      </w:r>
    </w:p>
    <w:p w:rsidR="007D6EFE" w:rsidRPr="004614CC" w:rsidRDefault="009766EF" w:rsidP="007D6EFE">
      <w:pPr>
        <w:spacing w:after="0" w:line="240" w:lineRule="auto"/>
        <w:rPr>
          <w:rFonts w:ascii="Arial" w:hAnsi="Arial" w:cs="Arial"/>
          <w:color w:val="000000"/>
          <w:szCs w:val="20"/>
        </w:rPr>
      </w:pPr>
    </w:p>
    <w:p w:rsidR="00AC2634" w:rsidRPr="00AC2634" w:rsidRDefault="009766EF" w:rsidP="005B5030">
      <w:pPr>
        <w:spacing w:after="0" w:line="240" w:lineRule="auto"/>
        <w:rPr>
          <w:rFonts w:ascii="Arial" w:hAnsi="Arial" w:cs="Arial"/>
          <w:iCs/>
          <w:color w:val="000000"/>
          <w:sz w:val="20"/>
          <w:szCs w:val="20"/>
        </w:rPr>
      </w:pPr>
      <w:r w:rsidRPr="00AC2634">
        <w:rPr>
          <w:rFonts w:ascii="Arial" w:hAnsi="Arial" w:cs="Arial"/>
          <w:iCs/>
          <w:color w:val="000000"/>
          <w:sz w:val="20"/>
          <w:szCs w:val="20"/>
        </w:rPr>
        <w:t>Director Related</w:t>
      </w:r>
    </w:p>
    <w:p w:rsidR="00AC2634" w:rsidRDefault="009766EF" w:rsidP="00DE0A23">
      <w:pPr>
        <w:pStyle w:val="treb"/>
        <w:numPr>
          <w:ilvl w:val="0"/>
          <w:numId w:val="0"/>
        </w:numPr>
        <w:spacing w:after="0"/>
        <w:rPr>
          <w:rFonts w:ascii="Arial" w:hAnsi="Arial"/>
          <w:b w:val="0"/>
          <w:bCs w:val="0"/>
          <w:iCs/>
          <w:color w:val="000000"/>
          <w:sz w:val="20"/>
          <w:szCs w:val="20"/>
        </w:rPr>
      </w:pPr>
    </w:p>
    <w:p w:rsidR="00184070" w:rsidRPr="00873FB8" w:rsidRDefault="009766EF" w:rsidP="00DE0A23">
      <w:pPr>
        <w:pStyle w:val="treb"/>
        <w:numPr>
          <w:ilvl w:val="0"/>
          <w:numId w:val="0"/>
        </w:numPr>
        <w:spacing w:after="0"/>
        <w:rPr>
          <w:rFonts w:ascii="Arial" w:hAnsi="Arial"/>
          <w:b w:val="0"/>
          <w:bCs w:val="0"/>
          <w:sz w:val="20"/>
          <w:szCs w:val="20"/>
        </w:rPr>
      </w:pPr>
      <w:r>
        <w:rPr>
          <w:rFonts w:ascii="Arial" w:hAnsi="Arial"/>
          <w:b w:val="0"/>
          <w:bCs w:val="0"/>
          <w:iCs/>
          <w:color w:val="000000"/>
          <w:sz w:val="20"/>
          <w:szCs w:val="20"/>
        </w:rPr>
        <w:t>A</w:t>
      </w:r>
      <w:r w:rsidRPr="00873FB8">
        <w:rPr>
          <w:rFonts w:ascii="Arial" w:hAnsi="Arial"/>
          <w:b w:val="0"/>
          <w:bCs w:val="0"/>
          <w:iCs/>
          <w:color w:val="000000"/>
          <w:sz w:val="20"/>
          <w:szCs w:val="20"/>
        </w:rPr>
        <w:t xml:space="preserve">t Anheuser-Busch </w:t>
      </w:r>
      <w:proofErr w:type="spellStart"/>
      <w:r w:rsidRPr="00873FB8">
        <w:rPr>
          <w:rFonts w:ascii="Arial" w:hAnsi="Arial"/>
          <w:b w:val="0"/>
          <w:bCs w:val="0"/>
          <w:iCs/>
          <w:color w:val="000000"/>
          <w:sz w:val="20"/>
          <w:szCs w:val="20"/>
        </w:rPr>
        <w:t>InBev</w:t>
      </w:r>
      <w:proofErr w:type="spellEnd"/>
      <w:r w:rsidRPr="00873FB8">
        <w:rPr>
          <w:rFonts w:ascii="Arial" w:hAnsi="Arial"/>
          <w:b w:val="0"/>
          <w:bCs w:val="0"/>
          <w:iCs/>
          <w:color w:val="000000"/>
          <w:sz w:val="20"/>
          <w:szCs w:val="20"/>
        </w:rPr>
        <w:t xml:space="preserve"> (Belgium: Brewer) LPPI voted against the election/re-election of six </w:t>
      </w:r>
      <w:r>
        <w:rPr>
          <w:rFonts w:ascii="Arial" w:hAnsi="Arial"/>
          <w:b w:val="0"/>
          <w:bCs w:val="0"/>
          <w:iCs/>
          <w:color w:val="000000"/>
          <w:sz w:val="20"/>
          <w:szCs w:val="20"/>
        </w:rPr>
        <w:t xml:space="preserve">out of seven </w:t>
      </w:r>
      <w:r w:rsidRPr="00873FB8">
        <w:rPr>
          <w:rFonts w:ascii="Arial" w:hAnsi="Arial"/>
          <w:b w:val="0"/>
          <w:bCs w:val="0"/>
          <w:iCs/>
          <w:color w:val="000000"/>
          <w:sz w:val="20"/>
          <w:szCs w:val="20"/>
        </w:rPr>
        <w:t>directors due to their lack of independence</w:t>
      </w:r>
      <w:r>
        <w:rPr>
          <w:rFonts w:ascii="Arial" w:hAnsi="Arial"/>
          <w:b w:val="0"/>
          <w:bCs w:val="0"/>
          <w:iCs/>
          <w:color w:val="000000"/>
          <w:sz w:val="20"/>
          <w:szCs w:val="20"/>
        </w:rPr>
        <w:t xml:space="preserve">, the </w:t>
      </w:r>
      <w:r w:rsidRPr="00873FB8">
        <w:rPr>
          <w:rFonts w:ascii="Arial" w:hAnsi="Arial"/>
          <w:b w:val="0"/>
          <w:bCs w:val="0"/>
          <w:iCs/>
          <w:color w:val="000000"/>
          <w:sz w:val="20"/>
          <w:szCs w:val="20"/>
        </w:rPr>
        <w:t xml:space="preserve">Board </w:t>
      </w:r>
      <w:r>
        <w:rPr>
          <w:rFonts w:ascii="Arial" w:hAnsi="Arial"/>
          <w:b w:val="0"/>
          <w:bCs w:val="0"/>
          <w:iCs/>
          <w:color w:val="000000"/>
          <w:sz w:val="20"/>
          <w:szCs w:val="20"/>
        </w:rPr>
        <w:t xml:space="preserve">currently contains </w:t>
      </w:r>
      <w:r w:rsidRPr="00873FB8">
        <w:rPr>
          <w:rFonts w:ascii="Arial" w:hAnsi="Arial"/>
          <w:b w:val="0"/>
          <w:bCs w:val="0"/>
          <w:iCs/>
          <w:color w:val="000000"/>
          <w:sz w:val="20"/>
          <w:szCs w:val="20"/>
        </w:rPr>
        <w:t>only 20% independent</w:t>
      </w:r>
      <w:r>
        <w:rPr>
          <w:rFonts w:ascii="Arial" w:hAnsi="Arial"/>
          <w:b w:val="0"/>
          <w:bCs w:val="0"/>
          <w:iCs/>
          <w:color w:val="000000"/>
          <w:sz w:val="20"/>
          <w:szCs w:val="20"/>
        </w:rPr>
        <w:t xml:space="preserve"> directors</w:t>
      </w:r>
      <w:r w:rsidRPr="00873FB8">
        <w:rPr>
          <w:rFonts w:ascii="Arial" w:hAnsi="Arial"/>
          <w:b w:val="0"/>
          <w:bCs w:val="0"/>
          <w:iCs/>
          <w:color w:val="000000"/>
          <w:sz w:val="20"/>
          <w:szCs w:val="20"/>
        </w:rPr>
        <w:t xml:space="preserve">. (Results: </w:t>
      </w:r>
      <w:r>
        <w:rPr>
          <w:rFonts w:ascii="Arial" w:hAnsi="Arial"/>
          <w:b w:val="0"/>
          <w:bCs w:val="0"/>
          <w:iCs/>
          <w:color w:val="000000"/>
          <w:sz w:val="20"/>
          <w:szCs w:val="20"/>
        </w:rPr>
        <w:t>all</w:t>
      </w:r>
      <w:r w:rsidRPr="00873FB8">
        <w:rPr>
          <w:rFonts w:ascii="Arial" w:hAnsi="Arial"/>
          <w:b w:val="0"/>
          <w:bCs w:val="0"/>
          <w:iCs/>
          <w:color w:val="000000"/>
          <w:sz w:val="20"/>
          <w:szCs w:val="20"/>
        </w:rPr>
        <w:t xml:space="preserve"> 6 directors received support of</w:t>
      </w:r>
      <w:r w:rsidRPr="00873FB8">
        <w:rPr>
          <w:rFonts w:ascii="Arial" w:hAnsi="Arial"/>
          <w:b w:val="0"/>
          <w:bCs w:val="0"/>
          <w:iCs/>
          <w:color w:val="000000"/>
          <w:sz w:val="20"/>
          <w:szCs w:val="20"/>
        </w:rPr>
        <w:t xml:space="preserve"> +84%).</w:t>
      </w:r>
    </w:p>
    <w:p w:rsidR="00184070" w:rsidRDefault="009766EF" w:rsidP="00DE0A23">
      <w:pPr>
        <w:pStyle w:val="treb"/>
        <w:numPr>
          <w:ilvl w:val="0"/>
          <w:numId w:val="0"/>
        </w:numPr>
        <w:spacing w:after="0"/>
        <w:rPr>
          <w:rFonts w:ascii="Arial" w:hAnsi="Arial"/>
          <w:b w:val="0"/>
          <w:bCs w:val="0"/>
          <w:sz w:val="20"/>
          <w:szCs w:val="20"/>
        </w:rPr>
      </w:pPr>
    </w:p>
    <w:p w:rsidR="00873FB8" w:rsidRDefault="009766EF" w:rsidP="00DE0A23">
      <w:pPr>
        <w:pStyle w:val="treb"/>
        <w:numPr>
          <w:ilvl w:val="0"/>
          <w:numId w:val="0"/>
        </w:numPr>
        <w:spacing w:after="0"/>
        <w:rPr>
          <w:rFonts w:ascii="Arial" w:hAnsi="Arial"/>
          <w:b w:val="0"/>
          <w:bCs w:val="0"/>
          <w:sz w:val="20"/>
          <w:szCs w:val="20"/>
        </w:rPr>
      </w:pPr>
      <w:r>
        <w:rPr>
          <w:rFonts w:ascii="Arial" w:hAnsi="Arial"/>
          <w:b w:val="0"/>
          <w:bCs w:val="0"/>
          <w:sz w:val="20"/>
          <w:szCs w:val="20"/>
        </w:rPr>
        <w:t xml:space="preserve">At China </w:t>
      </w:r>
      <w:proofErr w:type="spellStart"/>
      <w:r>
        <w:rPr>
          <w:rFonts w:ascii="Arial" w:hAnsi="Arial"/>
          <w:b w:val="0"/>
          <w:bCs w:val="0"/>
          <w:sz w:val="20"/>
          <w:szCs w:val="20"/>
        </w:rPr>
        <w:t>Everbright</w:t>
      </w:r>
      <w:proofErr w:type="spellEnd"/>
      <w:r>
        <w:rPr>
          <w:rFonts w:ascii="Arial" w:hAnsi="Arial"/>
          <w:b w:val="0"/>
          <w:bCs w:val="0"/>
          <w:sz w:val="20"/>
          <w:szCs w:val="20"/>
        </w:rPr>
        <w:t xml:space="preserve"> (Hong Kong: Investment Holding Co) and at Gaming and Leisure Properties </w:t>
      </w:r>
      <w:proofErr w:type="spellStart"/>
      <w:r>
        <w:rPr>
          <w:rFonts w:ascii="Arial" w:hAnsi="Arial"/>
          <w:b w:val="0"/>
          <w:bCs w:val="0"/>
          <w:sz w:val="20"/>
          <w:szCs w:val="20"/>
        </w:rPr>
        <w:t>Inc</w:t>
      </w:r>
      <w:proofErr w:type="spellEnd"/>
      <w:r>
        <w:rPr>
          <w:rFonts w:ascii="Arial" w:hAnsi="Arial"/>
          <w:b w:val="0"/>
          <w:bCs w:val="0"/>
          <w:sz w:val="20"/>
          <w:szCs w:val="20"/>
        </w:rPr>
        <w:t xml:space="preserve"> (US: Real Estate Trust) </w:t>
      </w:r>
      <w:r w:rsidRPr="00873FB8">
        <w:rPr>
          <w:rFonts w:ascii="Arial" w:hAnsi="Arial"/>
          <w:b w:val="0"/>
          <w:bCs w:val="0"/>
          <w:iCs/>
          <w:color w:val="000000"/>
          <w:sz w:val="20"/>
          <w:szCs w:val="20"/>
        </w:rPr>
        <w:t xml:space="preserve">LPPI voted against the </w:t>
      </w:r>
      <w:r>
        <w:rPr>
          <w:rFonts w:ascii="Arial" w:hAnsi="Arial"/>
          <w:b w:val="0"/>
          <w:bCs w:val="0"/>
          <w:iCs/>
          <w:color w:val="000000"/>
          <w:sz w:val="20"/>
          <w:szCs w:val="20"/>
        </w:rPr>
        <w:t>re-</w:t>
      </w:r>
      <w:r w:rsidRPr="00873FB8">
        <w:rPr>
          <w:rFonts w:ascii="Arial" w:hAnsi="Arial"/>
          <w:b w:val="0"/>
          <w:bCs w:val="0"/>
          <w:iCs/>
          <w:color w:val="000000"/>
          <w:sz w:val="20"/>
          <w:szCs w:val="20"/>
        </w:rPr>
        <w:t>election</w:t>
      </w:r>
      <w:r>
        <w:rPr>
          <w:rFonts w:ascii="Arial" w:hAnsi="Arial"/>
          <w:b w:val="0"/>
          <w:bCs w:val="0"/>
          <w:iCs/>
          <w:color w:val="000000"/>
          <w:sz w:val="20"/>
          <w:szCs w:val="20"/>
        </w:rPr>
        <w:t xml:space="preserve"> of the </w:t>
      </w:r>
      <w:r w:rsidRPr="00DB0045">
        <w:rPr>
          <w:rFonts w:ascii="Arial" w:hAnsi="Arial"/>
          <w:b w:val="0"/>
          <w:bCs w:val="0"/>
          <w:iCs/>
          <w:color w:val="000000"/>
          <w:sz w:val="20"/>
          <w:szCs w:val="20"/>
        </w:rPr>
        <w:t>incumbent Nominating Committee Chair</w:t>
      </w:r>
      <w:r>
        <w:rPr>
          <w:rFonts w:ascii="Arial" w:hAnsi="Arial"/>
          <w:b w:val="0"/>
          <w:bCs w:val="0"/>
          <w:iCs/>
          <w:color w:val="000000"/>
          <w:sz w:val="20"/>
          <w:szCs w:val="20"/>
        </w:rPr>
        <w:t>s</w:t>
      </w:r>
      <w:r w:rsidRPr="00DB0045">
        <w:rPr>
          <w:rFonts w:ascii="Arial" w:hAnsi="Arial"/>
          <w:b w:val="0"/>
          <w:bCs w:val="0"/>
          <w:iCs/>
          <w:color w:val="000000"/>
          <w:sz w:val="20"/>
          <w:szCs w:val="20"/>
        </w:rPr>
        <w:t xml:space="preserve"> for </w:t>
      </w:r>
      <w:r>
        <w:rPr>
          <w:rFonts w:ascii="Arial" w:hAnsi="Arial"/>
          <w:b w:val="0"/>
          <w:bCs w:val="0"/>
          <w:iCs/>
          <w:color w:val="000000"/>
          <w:sz w:val="20"/>
          <w:szCs w:val="20"/>
        </w:rPr>
        <w:t xml:space="preserve">a </w:t>
      </w:r>
      <w:r w:rsidRPr="00DB0045">
        <w:rPr>
          <w:rFonts w:ascii="Arial" w:hAnsi="Arial"/>
          <w:b w:val="0"/>
          <w:bCs w:val="0"/>
          <w:iCs/>
          <w:color w:val="000000"/>
          <w:sz w:val="20"/>
          <w:szCs w:val="20"/>
        </w:rPr>
        <w:t>lack of gender diversity</w:t>
      </w:r>
      <w:r>
        <w:rPr>
          <w:rFonts w:ascii="Arial" w:hAnsi="Arial"/>
          <w:b w:val="0"/>
          <w:bCs w:val="0"/>
          <w:iCs/>
          <w:color w:val="000000"/>
          <w:sz w:val="20"/>
          <w:szCs w:val="20"/>
        </w:rPr>
        <w:t>. Neither company</w:t>
      </w:r>
      <w:r>
        <w:rPr>
          <w:rFonts w:ascii="Arial" w:hAnsi="Arial"/>
          <w:b w:val="0"/>
          <w:bCs w:val="0"/>
          <w:iCs/>
          <w:color w:val="000000"/>
          <w:sz w:val="20"/>
          <w:szCs w:val="20"/>
        </w:rPr>
        <w:t xml:space="preserve"> Board currently has any female director representation. (Result</w:t>
      </w:r>
      <w:proofErr w:type="gramStart"/>
      <w:r>
        <w:rPr>
          <w:rFonts w:ascii="Arial" w:hAnsi="Arial"/>
          <w:b w:val="0"/>
          <w:bCs w:val="0"/>
          <w:iCs/>
          <w:color w:val="000000"/>
          <w:sz w:val="20"/>
          <w:szCs w:val="20"/>
        </w:rPr>
        <w:t>:12.5</w:t>
      </w:r>
      <w:proofErr w:type="gramEnd"/>
      <w:r>
        <w:rPr>
          <w:rFonts w:ascii="Arial" w:hAnsi="Arial"/>
          <w:b w:val="0"/>
          <w:bCs w:val="0"/>
          <w:iCs/>
          <w:color w:val="000000"/>
          <w:sz w:val="20"/>
          <w:szCs w:val="20"/>
        </w:rPr>
        <w:t>% opposition and 23% opposition respectively). In the case of G&amp;LP this level of opposition was notable given other nominees received 99% support.</w:t>
      </w:r>
    </w:p>
    <w:p w:rsidR="00631E17" w:rsidRDefault="009766EF" w:rsidP="00DE0A23">
      <w:pPr>
        <w:pStyle w:val="treb"/>
        <w:numPr>
          <w:ilvl w:val="0"/>
          <w:numId w:val="0"/>
        </w:numPr>
        <w:spacing w:after="0"/>
        <w:rPr>
          <w:rFonts w:ascii="Arial" w:hAnsi="Arial"/>
          <w:b w:val="0"/>
          <w:sz w:val="20"/>
          <w:szCs w:val="20"/>
        </w:rPr>
      </w:pPr>
    </w:p>
    <w:p w:rsidR="001D6582" w:rsidRDefault="009766EF" w:rsidP="001D6582">
      <w:pPr>
        <w:spacing w:after="0" w:line="240" w:lineRule="auto"/>
        <w:rPr>
          <w:rFonts w:ascii="Arial" w:hAnsi="Arial" w:cs="Arial"/>
          <w:iCs/>
          <w:color w:val="000000"/>
          <w:sz w:val="20"/>
          <w:szCs w:val="20"/>
        </w:rPr>
      </w:pPr>
      <w:r>
        <w:rPr>
          <w:rFonts w:ascii="Arial" w:hAnsi="Arial" w:cs="Arial"/>
          <w:iCs/>
          <w:color w:val="000000"/>
          <w:sz w:val="20"/>
          <w:szCs w:val="20"/>
        </w:rPr>
        <w:t>A</w:t>
      </w:r>
      <w:r w:rsidRPr="007E6167">
        <w:rPr>
          <w:rFonts w:ascii="Arial" w:hAnsi="Arial" w:cs="Arial"/>
          <w:iCs/>
          <w:color w:val="000000"/>
          <w:sz w:val="20"/>
          <w:szCs w:val="20"/>
        </w:rPr>
        <w:t>t NTT DoCoMo (Japan: Wireless Telecomm</w:t>
      </w:r>
      <w:r w:rsidRPr="007E6167">
        <w:rPr>
          <w:rFonts w:ascii="Arial" w:hAnsi="Arial" w:cs="Arial"/>
          <w:iCs/>
          <w:color w:val="000000"/>
          <w:sz w:val="20"/>
          <w:szCs w:val="20"/>
        </w:rPr>
        <w:t>unication Services)</w:t>
      </w:r>
      <w:r>
        <w:rPr>
          <w:rFonts w:ascii="Arial" w:hAnsi="Arial" w:cs="Arial"/>
          <w:iCs/>
          <w:color w:val="000000"/>
          <w:sz w:val="20"/>
          <w:szCs w:val="20"/>
        </w:rPr>
        <w:t xml:space="preserve"> </w:t>
      </w:r>
      <w:r w:rsidRPr="007E6167">
        <w:rPr>
          <w:rFonts w:ascii="Arial" w:hAnsi="Arial" w:cs="Arial"/>
          <w:iCs/>
          <w:color w:val="000000"/>
          <w:sz w:val="20"/>
          <w:szCs w:val="20"/>
        </w:rPr>
        <w:t>LPPI voted against the appointment of four statutory auditor nominee</w:t>
      </w:r>
      <w:r>
        <w:rPr>
          <w:rFonts w:ascii="Arial" w:hAnsi="Arial" w:cs="Arial"/>
          <w:iCs/>
          <w:color w:val="000000"/>
          <w:sz w:val="20"/>
          <w:szCs w:val="20"/>
        </w:rPr>
        <w:t>s on the basis that they held positions or had connections which represented an affiliation with the company and were insufficiently independent to be considered outsid</w:t>
      </w:r>
      <w:r>
        <w:rPr>
          <w:rFonts w:ascii="Arial" w:hAnsi="Arial" w:cs="Arial"/>
          <w:iCs/>
          <w:color w:val="000000"/>
          <w:sz w:val="20"/>
          <w:szCs w:val="20"/>
        </w:rPr>
        <w:t xml:space="preserve">ers. </w:t>
      </w:r>
      <w:r w:rsidRPr="00B9712D">
        <w:rPr>
          <w:rFonts w:ascii="Arial" w:hAnsi="Arial" w:cs="Arial"/>
          <w:iCs/>
          <w:color w:val="000000"/>
          <w:sz w:val="20"/>
          <w:szCs w:val="20"/>
        </w:rPr>
        <w:t xml:space="preserve">The role of the statutory auditor in Japan is distinct from the </w:t>
      </w:r>
      <w:r>
        <w:rPr>
          <w:rFonts w:ascii="Arial" w:hAnsi="Arial" w:cs="Arial"/>
          <w:iCs/>
          <w:color w:val="000000"/>
          <w:sz w:val="20"/>
          <w:szCs w:val="20"/>
        </w:rPr>
        <w:t xml:space="preserve">more familiar </w:t>
      </w:r>
      <w:r w:rsidRPr="00B9712D">
        <w:rPr>
          <w:rFonts w:ascii="Arial" w:hAnsi="Arial" w:cs="Arial"/>
          <w:iCs/>
          <w:color w:val="000000"/>
          <w:sz w:val="20"/>
          <w:szCs w:val="20"/>
        </w:rPr>
        <w:t>role</w:t>
      </w:r>
      <w:r>
        <w:rPr>
          <w:rFonts w:ascii="Arial" w:hAnsi="Arial" w:cs="Arial"/>
          <w:iCs/>
          <w:color w:val="000000"/>
          <w:sz w:val="20"/>
          <w:szCs w:val="20"/>
        </w:rPr>
        <w:t>s</w:t>
      </w:r>
      <w:r w:rsidRPr="00B9712D">
        <w:rPr>
          <w:rFonts w:ascii="Arial" w:hAnsi="Arial" w:cs="Arial"/>
          <w:iCs/>
          <w:color w:val="000000"/>
          <w:sz w:val="20"/>
          <w:szCs w:val="20"/>
        </w:rPr>
        <w:t xml:space="preserve"> of </w:t>
      </w:r>
      <w:hyperlink r:id="rId10" w:tooltip="External auditor" w:history="1">
        <w:r w:rsidRPr="00B9712D">
          <w:rPr>
            <w:rFonts w:ascii="Arial" w:hAnsi="Arial" w:cs="Arial"/>
            <w:iCs/>
            <w:color w:val="000000"/>
            <w:sz w:val="20"/>
            <w:szCs w:val="20"/>
          </w:rPr>
          <w:t>external auditor</w:t>
        </w:r>
      </w:hyperlink>
      <w:r w:rsidRPr="00B9712D">
        <w:rPr>
          <w:rFonts w:ascii="Arial" w:hAnsi="Arial" w:cs="Arial"/>
          <w:iCs/>
          <w:color w:val="000000"/>
          <w:sz w:val="20"/>
          <w:szCs w:val="20"/>
        </w:rPr>
        <w:t> or </w:t>
      </w:r>
      <w:hyperlink r:id="rId11" w:tooltip="Internal auditor" w:history="1">
        <w:r w:rsidRPr="00B9712D">
          <w:rPr>
            <w:rFonts w:ascii="Arial" w:hAnsi="Arial" w:cs="Arial"/>
            <w:iCs/>
            <w:color w:val="000000"/>
            <w:sz w:val="20"/>
            <w:szCs w:val="20"/>
          </w:rPr>
          <w:t>internal auditor</w:t>
        </w:r>
      </w:hyperlink>
      <w:r>
        <w:rPr>
          <w:rFonts w:ascii="Arial" w:hAnsi="Arial" w:cs="Arial"/>
          <w:iCs/>
          <w:color w:val="000000"/>
          <w:sz w:val="20"/>
          <w:szCs w:val="20"/>
        </w:rPr>
        <w:t>. It is more</w:t>
      </w:r>
      <w:r w:rsidRPr="00B9712D">
        <w:rPr>
          <w:rFonts w:ascii="Arial" w:hAnsi="Arial" w:cs="Arial"/>
          <w:iCs/>
          <w:color w:val="000000"/>
          <w:sz w:val="20"/>
          <w:szCs w:val="20"/>
        </w:rPr>
        <w:t> </w:t>
      </w:r>
      <w:r>
        <w:rPr>
          <w:rFonts w:ascii="Arial" w:hAnsi="Arial" w:cs="Arial"/>
          <w:iCs/>
          <w:color w:val="000000"/>
          <w:sz w:val="20"/>
          <w:szCs w:val="20"/>
        </w:rPr>
        <w:t xml:space="preserve">akin to an </w:t>
      </w:r>
      <w:r w:rsidRPr="00B9712D">
        <w:rPr>
          <w:rFonts w:ascii="Arial" w:hAnsi="Arial" w:cs="Arial"/>
          <w:iCs/>
          <w:color w:val="000000"/>
          <w:sz w:val="20"/>
          <w:szCs w:val="20"/>
        </w:rPr>
        <w:t>audit &amp; supervisory board membership</w:t>
      </w:r>
      <w:r>
        <w:rPr>
          <w:rFonts w:ascii="Arial" w:hAnsi="Arial" w:cs="Arial"/>
          <w:iCs/>
          <w:color w:val="000000"/>
          <w:sz w:val="20"/>
          <w:szCs w:val="20"/>
        </w:rPr>
        <w:t xml:space="preserve"> and provides oversight</w:t>
      </w:r>
      <w:r w:rsidRPr="00B9712D">
        <w:rPr>
          <w:rFonts w:ascii="Arial" w:hAnsi="Arial" w:cs="Arial"/>
          <w:iCs/>
          <w:color w:val="000000"/>
          <w:sz w:val="20"/>
          <w:szCs w:val="20"/>
        </w:rPr>
        <w:t xml:space="preserve">. </w:t>
      </w:r>
      <w:r w:rsidRPr="007E6167">
        <w:rPr>
          <w:rFonts w:ascii="Arial" w:hAnsi="Arial" w:cs="Arial"/>
          <w:iCs/>
          <w:color w:val="000000"/>
          <w:sz w:val="20"/>
          <w:szCs w:val="20"/>
        </w:rPr>
        <w:t xml:space="preserve">(Results: </w:t>
      </w:r>
      <w:r>
        <w:rPr>
          <w:rFonts w:ascii="Arial" w:hAnsi="Arial" w:cs="Arial"/>
          <w:iCs/>
          <w:color w:val="000000"/>
          <w:sz w:val="20"/>
          <w:szCs w:val="20"/>
        </w:rPr>
        <w:t xml:space="preserve">nominees received support of between </w:t>
      </w:r>
      <w:r w:rsidRPr="007E6167">
        <w:rPr>
          <w:rFonts w:ascii="Arial" w:hAnsi="Arial" w:cs="Arial"/>
          <w:iCs/>
          <w:color w:val="000000"/>
          <w:sz w:val="20"/>
          <w:szCs w:val="20"/>
        </w:rPr>
        <w:t>7</w:t>
      </w:r>
      <w:r>
        <w:rPr>
          <w:rFonts w:ascii="Arial" w:hAnsi="Arial" w:cs="Arial"/>
          <w:iCs/>
          <w:color w:val="000000"/>
          <w:sz w:val="20"/>
          <w:szCs w:val="20"/>
        </w:rPr>
        <w:t>8</w:t>
      </w:r>
      <w:r w:rsidRPr="007E6167">
        <w:rPr>
          <w:rFonts w:ascii="Arial" w:hAnsi="Arial" w:cs="Arial"/>
          <w:iCs/>
          <w:color w:val="000000"/>
          <w:sz w:val="20"/>
          <w:szCs w:val="20"/>
        </w:rPr>
        <w:t>%</w:t>
      </w:r>
      <w:r>
        <w:rPr>
          <w:rFonts w:ascii="Arial" w:hAnsi="Arial" w:cs="Arial"/>
          <w:iCs/>
          <w:color w:val="000000"/>
          <w:sz w:val="20"/>
          <w:szCs w:val="20"/>
        </w:rPr>
        <w:t xml:space="preserve"> and 92%)</w:t>
      </w:r>
      <w:r w:rsidRPr="007E6167">
        <w:rPr>
          <w:rFonts w:ascii="Arial" w:hAnsi="Arial" w:cs="Arial"/>
          <w:iCs/>
          <w:color w:val="000000"/>
          <w:sz w:val="20"/>
          <w:szCs w:val="20"/>
        </w:rPr>
        <w:t xml:space="preserve">. </w:t>
      </w:r>
    </w:p>
    <w:p w:rsidR="00AC2634" w:rsidRDefault="009766EF" w:rsidP="00DE0A23">
      <w:pPr>
        <w:pStyle w:val="treb"/>
        <w:numPr>
          <w:ilvl w:val="0"/>
          <w:numId w:val="0"/>
        </w:numPr>
        <w:spacing w:after="0"/>
        <w:rPr>
          <w:lang w:val="en-US"/>
        </w:rPr>
      </w:pPr>
    </w:p>
    <w:p w:rsidR="001D6582" w:rsidRDefault="009766EF" w:rsidP="00DE0A23">
      <w:pPr>
        <w:pStyle w:val="treb"/>
        <w:numPr>
          <w:ilvl w:val="0"/>
          <w:numId w:val="0"/>
        </w:numPr>
        <w:spacing w:after="0"/>
        <w:rPr>
          <w:rFonts w:ascii="Arial" w:hAnsi="Arial"/>
          <w:b w:val="0"/>
          <w:sz w:val="20"/>
          <w:szCs w:val="20"/>
        </w:rPr>
      </w:pPr>
      <w:r>
        <w:rPr>
          <w:rFonts w:ascii="Arial" w:hAnsi="Arial"/>
          <w:b w:val="0"/>
          <w:sz w:val="20"/>
          <w:szCs w:val="20"/>
        </w:rPr>
        <w:t>Non-Salary Compensation</w:t>
      </w:r>
    </w:p>
    <w:p w:rsidR="00374AD3" w:rsidRDefault="009766EF" w:rsidP="00DE0A23">
      <w:pPr>
        <w:pStyle w:val="treb"/>
        <w:numPr>
          <w:ilvl w:val="0"/>
          <w:numId w:val="0"/>
        </w:numPr>
        <w:spacing w:after="0"/>
        <w:rPr>
          <w:rFonts w:ascii="Arial" w:hAnsi="Arial"/>
          <w:b w:val="0"/>
          <w:sz w:val="20"/>
          <w:szCs w:val="20"/>
        </w:rPr>
      </w:pPr>
    </w:p>
    <w:p w:rsidR="006C50ED" w:rsidRPr="004614CC" w:rsidRDefault="009766EF" w:rsidP="006C50ED">
      <w:pPr>
        <w:spacing w:after="0" w:line="240" w:lineRule="auto"/>
        <w:rPr>
          <w:rFonts w:ascii="Arial" w:hAnsi="Arial" w:cs="Arial"/>
          <w:color w:val="000000"/>
          <w:sz w:val="20"/>
          <w:szCs w:val="20"/>
        </w:rPr>
      </w:pPr>
      <w:r w:rsidRPr="004614CC">
        <w:rPr>
          <w:rFonts w:ascii="Arial" w:hAnsi="Arial" w:cs="Arial"/>
          <w:sz w:val="20"/>
          <w:szCs w:val="20"/>
        </w:rPr>
        <w:t xml:space="preserve">Management proposals on compensation arrangements prompted </w:t>
      </w:r>
      <w:r>
        <w:rPr>
          <w:rFonts w:ascii="Arial" w:hAnsi="Arial" w:cs="Arial"/>
          <w:sz w:val="20"/>
          <w:szCs w:val="20"/>
        </w:rPr>
        <w:t>57</w:t>
      </w:r>
      <w:r w:rsidRPr="004614CC">
        <w:rPr>
          <w:rFonts w:ascii="Arial" w:hAnsi="Arial" w:cs="Arial"/>
          <w:sz w:val="20"/>
          <w:szCs w:val="20"/>
        </w:rPr>
        <w:t xml:space="preserve"> opposition votes. These were in reaction to examples of poor practices </w:t>
      </w:r>
      <w:r>
        <w:rPr>
          <w:rFonts w:ascii="Arial" w:hAnsi="Arial" w:cs="Arial"/>
          <w:sz w:val="20"/>
          <w:szCs w:val="20"/>
        </w:rPr>
        <w:t>or</w:t>
      </w:r>
      <w:r w:rsidRPr="004614CC">
        <w:rPr>
          <w:rFonts w:ascii="Arial" w:hAnsi="Arial" w:cs="Arial"/>
          <w:sz w:val="20"/>
          <w:szCs w:val="20"/>
        </w:rPr>
        <w:t xml:space="preserve"> weak corporate governance including inadequate information being released</w:t>
      </w:r>
      <w:r>
        <w:rPr>
          <w:rFonts w:ascii="Arial" w:hAnsi="Arial" w:cs="Arial"/>
          <w:sz w:val="20"/>
          <w:szCs w:val="20"/>
        </w:rPr>
        <w:t xml:space="preserve"> to shareholders and</w:t>
      </w:r>
      <w:r w:rsidRPr="004614CC">
        <w:rPr>
          <w:rFonts w:ascii="Arial" w:hAnsi="Arial" w:cs="Arial"/>
          <w:sz w:val="20"/>
          <w:szCs w:val="20"/>
        </w:rPr>
        <w:t xml:space="preserve"> </w:t>
      </w:r>
      <w:r>
        <w:rPr>
          <w:rFonts w:ascii="Arial" w:hAnsi="Arial" w:cs="Arial"/>
          <w:sz w:val="20"/>
          <w:szCs w:val="20"/>
        </w:rPr>
        <w:t>an incomplete</w:t>
      </w:r>
      <w:r w:rsidRPr="004614CC">
        <w:rPr>
          <w:rFonts w:ascii="Arial" w:hAnsi="Arial" w:cs="Arial"/>
          <w:sz w:val="20"/>
          <w:szCs w:val="20"/>
        </w:rPr>
        <w:t xml:space="preserve"> disclosure o</w:t>
      </w:r>
      <w:r w:rsidRPr="004614CC">
        <w:rPr>
          <w:rFonts w:ascii="Arial" w:hAnsi="Arial" w:cs="Arial"/>
          <w:sz w:val="20"/>
          <w:szCs w:val="20"/>
        </w:rPr>
        <w:t>f performance conditions</w:t>
      </w:r>
      <w:r>
        <w:rPr>
          <w:rFonts w:ascii="Arial" w:hAnsi="Arial" w:cs="Arial"/>
          <w:sz w:val="20"/>
          <w:szCs w:val="20"/>
        </w:rPr>
        <w:t>, but also featured instances which provoked concern at the quantum of total rewards achievable</w:t>
      </w:r>
      <w:r w:rsidRPr="004614CC">
        <w:rPr>
          <w:rFonts w:ascii="Arial" w:hAnsi="Arial" w:cs="Arial"/>
          <w:sz w:val="20"/>
          <w:szCs w:val="20"/>
        </w:rPr>
        <w:t xml:space="preserve">. </w:t>
      </w:r>
    </w:p>
    <w:p w:rsidR="00374AD3" w:rsidRPr="004614CC" w:rsidRDefault="009766EF" w:rsidP="00374AD3">
      <w:pPr>
        <w:pStyle w:val="treb"/>
        <w:numPr>
          <w:ilvl w:val="0"/>
          <w:numId w:val="0"/>
        </w:numPr>
        <w:spacing w:after="0"/>
        <w:rPr>
          <w:rFonts w:ascii="Arial" w:hAnsi="Arial"/>
          <w:b w:val="0"/>
          <w:sz w:val="20"/>
          <w:szCs w:val="20"/>
        </w:rPr>
      </w:pPr>
    </w:p>
    <w:p w:rsidR="00AC2634" w:rsidRPr="00374AD3" w:rsidRDefault="009766EF" w:rsidP="00374AD3">
      <w:pPr>
        <w:pStyle w:val="LPPBodytext"/>
        <w:numPr>
          <w:ilvl w:val="0"/>
          <w:numId w:val="0"/>
        </w:numPr>
        <w:spacing w:line="240" w:lineRule="auto"/>
        <w:rPr>
          <w:rFonts w:ascii="Arial" w:hAnsi="Arial" w:cs="Arial"/>
          <w:szCs w:val="20"/>
          <w:lang w:val="en-GB"/>
        </w:rPr>
      </w:pPr>
      <w:r w:rsidRPr="00374AD3">
        <w:rPr>
          <w:rFonts w:ascii="Arial" w:hAnsi="Arial" w:cs="Arial"/>
          <w:iCs/>
          <w:szCs w:val="20"/>
        </w:rPr>
        <w:t xml:space="preserve">At Metropole Television S (France: Broadcasting) LPPI voted against the compensation of four management board members. The </w:t>
      </w:r>
      <w:r w:rsidRPr="00374AD3">
        <w:rPr>
          <w:rFonts w:ascii="Arial" w:hAnsi="Arial" w:cs="Arial"/>
          <w:szCs w:val="20"/>
          <w:lang w:val="en-GB"/>
        </w:rPr>
        <w:t xml:space="preserve">company's </w:t>
      </w:r>
      <w:r w:rsidRPr="00374AD3">
        <w:rPr>
          <w:rFonts w:ascii="Arial" w:hAnsi="Arial" w:cs="Arial"/>
          <w:szCs w:val="20"/>
          <w:lang w:val="en-GB"/>
        </w:rPr>
        <w:t>current practice</w:t>
      </w:r>
      <w:r>
        <w:rPr>
          <w:rFonts w:ascii="Arial" w:hAnsi="Arial" w:cs="Arial"/>
          <w:szCs w:val="20"/>
          <w:lang w:val="en-GB"/>
        </w:rPr>
        <w:t>s</w:t>
      </w:r>
      <w:r w:rsidRPr="00374AD3">
        <w:rPr>
          <w:rFonts w:ascii="Arial" w:hAnsi="Arial" w:cs="Arial"/>
          <w:szCs w:val="20"/>
          <w:lang w:val="en-GB"/>
        </w:rPr>
        <w:t xml:space="preserve"> only allow shareholders to vote on a non-significant part of the management board members' remuneration, and the level of disclosure on performance conditions within the Long-Term Incentive Plan </w:t>
      </w:r>
      <w:r>
        <w:rPr>
          <w:rFonts w:ascii="Arial" w:hAnsi="Arial" w:cs="Arial"/>
          <w:szCs w:val="20"/>
          <w:lang w:val="en-GB"/>
        </w:rPr>
        <w:t>i</w:t>
      </w:r>
      <w:r w:rsidRPr="00374AD3">
        <w:rPr>
          <w:rFonts w:ascii="Arial" w:hAnsi="Arial" w:cs="Arial"/>
          <w:szCs w:val="20"/>
          <w:lang w:val="en-GB"/>
        </w:rPr>
        <w:t xml:space="preserve">s below market standards. (Results: 10.7% </w:t>
      </w:r>
      <w:r w:rsidRPr="00374AD3">
        <w:rPr>
          <w:rFonts w:ascii="Arial" w:hAnsi="Arial" w:cs="Arial"/>
          <w:szCs w:val="20"/>
          <w:lang w:val="en-GB"/>
        </w:rPr>
        <w:t xml:space="preserve">against). </w:t>
      </w:r>
    </w:p>
    <w:p w:rsidR="00AC2634" w:rsidRPr="007E6167" w:rsidRDefault="009766EF" w:rsidP="00AC2634">
      <w:pPr>
        <w:spacing w:after="0" w:line="240" w:lineRule="auto"/>
        <w:rPr>
          <w:rFonts w:ascii="Arial" w:hAnsi="Arial" w:cs="Arial"/>
          <w:iCs/>
          <w:color w:val="000000"/>
          <w:sz w:val="20"/>
          <w:szCs w:val="20"/>
        </w:rPr>
      </w:pPr>
    </w:p>
    <w:p w:rsidR="00AC2634" w:rsidRPr="00FC4258" w:rsidRDefault="009766EF" w:rsidP="00AC2634">
      <w:pPr>
        <w:spacing w:after="0" w:line="240" w:lineRule="auto"/>
        <w:rPr>
          <w:rStyle w:val="LPPBodytextChar"/>
          <w:rFonts w:ascii="Arial" w:eastAsia="Calibri" w:hAnsi="Arial" w:cs="Arial"/>
        </w:rPr>
      </w:pPr>
      <w:r>
        <w:rPr>
          <w:rStyle w:val="LPPBodytextChar"/>
          <w:rFonts w:ascii="Arial" w:eastAsia="Calibri" w:hAnsi="Arial" w:cs="Arial"/>
        </w:rPr>
        <w:t>A</w:t>
      </w:r>
      <w:r w:rsidRPr="007E6167">
        <w:rPr>
          <w:rStyle w:val="LPPBodytextChar"/>
          <w:rFonts w:ascii="Arial" w:eastAsia="Calibri" w:hAnsi="Arial" w:cs="Arial"/>
        </w:rPr>
        <w:t>t Intel Corp</w:t>
      </w:r>
      <w:r>
        <w:rPr>
          <w:rStyle w:val="LPPBodytextChar"/>
          <w:rFonts w:ascii="Arial" w:eastAsia="Calibri" w:hAnsi="Arial" w:cs="Arial"/>
        </w:rPr>
        <w:t>oration</w:t>
      </w:r>
      <w:r w:rsidRPr="007E6167">
        <w:rPr>
          <w:rStyle w:val="LPPBodytextChar"/>
          <w:rFonts w:ascii="Arial" w:eastAsia="Calibri" w:hAnsi="Arial" w:cs="Arial"/>
        </w:rPr>
        <w:t xml:space="preserve"> (USA: Semiconductors) </w:t>
      </w:r>
      <w:r w:rsidRPr="007E6167">
        <w:rPr>
          <w:rFonts w:ascii="Arial" w:hAnsi="Arial" w:cs="Arial"/>
          <w:iCs/>
          <w:color w:val="000000"/>
          <w:sz w:val="20"/>
          <w:szCs w:val="20"/>
        </w:rPr>
        <w:t xml:space="preserve">LPPI </w:t>
      </w:r>
      <w:r>
        <w:rPr>
          <w:rFonts w:ascii="Arial" w:hAnsi="Arial" w:cs="Arial"/>
          <w:iCs/>
          <w:color w:val="000000"/>
          <w:sz w:val="20"/>
          <w:szCs w:val="20"/>
        </w:rPr>
        <w:t>voted against management on an</w:t>
      </w:r>
      <w:r w:rsidRPr="007E6167">
        <w:rPr>
          <w:rStyle w:val="LPPBodytextChar"/>
          <w:rFonts w:ascii="Arial" w:eastAsia="Calibri" w:hAnsi="Arial" w:cs="Arial"/>
        </w:rPr>
        <w:t xml:space="preserve"> Advisory Vote to Ratify Named Executive Officers' Compensation</w:t>
      </w:r>
      <w:r>
        <w:rPr>
          <w:rStyle w:val="LPPBodytextChar"/>
          <w:rFonts w:ascii="Arial" w:eastAsia="Calibri" w:hAnsi="Arial" w:cs="Arial"/>
        </w:rPr>
        <w:t xml:space="preserve">. This was on the basis of the </w:t>
      </w:r>
      <w:r w:rsidRPr="00FC4258">
        <w:rPr>
          <w:rStyle w:val="LPPBodytextChar"/>
          <w:rFonts w:ascii="Arial" w:eastAsia="Calibri" w:hAnsi="Arial" w:cs="Arial"/>
        </w:rPr>
        <w:t xml:space="preserve">magnitude of overall pay and compensation </w:t>
      </w:r>
      <w:r>
        <w:rPr>
          <w:rStyle w:val="LPPBodytextChar"/>
          <w:rFonts w:ascii="Arial" w:eastAsia="Calibri" w:hAnsi="Arial" w:cs="Arial"/>
        </w:rPr>
        <w:t xml:space="preserve">achievable under </w:t>
      </w:r>
      <w:r w:rsidRPr="00FC4258">
        <w:rPr>
          <w:rStyle w:val="LPPBodytextChar"/>
          <w:rFonts w:ascii="Arial" w:eastAsia="Calibri" w:hAnsi="Arial" w:cs="Arial"/>
        </w:rPr>
        <w:t xml:space="preserve">arrangements </w:t>
      </w:r>
      <w:r w:rsidRPr="00FC4258">
        <w:rPr>
          <w:rStyle w:val="LPPBodytextChar"/>
          <w:rFonts w:ascii="Arial" w:eastAsia="Calibri" w:hAnsi="Arial" w:cs="Arial"/>
        </w:rPr>
        <w:t>agreed for the new CEO appointed at the start of 2019</w:t>
      </w:r>
      <w:r>
        <w:rPr>
          <w:rStyle w:val="LPPBodytextChar"/>
          <w:rFonts w:ascii="Arial" w:eastAsia="Calibri" w:hAnsi="Arial" w:cs="Arial"/>
        </w:rPr>
        <w:t xml:space="preserve">.   Were all </w:t>
      </w:r>
      <w:r w:rsidRPr="007E6167">
        <w:rPr>
          <w:rStyle w:val="LPPBodytextChar"/>
          <w:rFonts w:ascii="Arial" w:eastAsia="Calibri" w:hAnsi="Arial" w:cs="Arial"/>
        </w:rPr>
        <w:t>performance criteria met</w:t>
      </w:r>
      <w:r>
        <w:rPr>
          <w:rStyle w:val="LPPBodytextChar"/>
          <w:rFonts w:ascii="Arial" w:eastAsia="Calibri" w:hAnsi="Arial" w:cs="Arial"/>
        </w:rPr>
        <w:t xml:space="preserve"> in full, the new CEO’s </w:t>
      </w:r>
      <w:r w:rsidRPr="007E6167">
        <w:rPr>
          <w:rStyle w:val="LPPBodytextChar"/>
          <w:rFonts w:ascii="Arial" w:eastAsia="Calibri" w:hAnsi="Arial" w:cs="Arial"/>
        </w:rPr>
        <w:t xml:space="preserve">compensation </w:t>
      </w:r>
      <w:r>
        <w:rPr>
          <w:rStyle w:val="LPPBodytextChar"/>
          <w:rFonts w:ascii="Arial" w:eastAsia="Calibri" w:hAnsi="Arial" w:cs="Arial"/>
        </w:rPr>
        <w:t xml:space="preserve">would significantly exceed the quantum of reward at comparable </w:t>
      </w:r>
      <w:proofErr w:type="spellStart"/>
      <w:r>
        <w:rPr>
          <w:rStyle w:val="LPPBodytextChar"/>
          <w:rFonts w:ascii="Arial" w:eastAsia="Calibri" w:hAnsi="Arial" w:cs="Arial"/>
        </w:rPr>
        <w:t>organisations</w:t>
      </w:r>
      <w:proofErr w:type="spellEnd"/>
      <w:r>
        <w:rPr>
          <w:rStyle w:val="LPPBodytextChar"/>
          <w:rFonts w:ascii="Arial" w:eastAsia="Calibri" w:hAnsi="Arial" w:cs="Arial"/>
        </w:rPr>
        <w:t xml:space="preserve"> and move considerably beyond the position of the pri</w:t>
      </w:r>
      <w:r>
        <w:rPr>
          <w:rStyle w:val="LPPBodytextChar"/>
          <w:rFonts w:ascii="Arial" w:eastAsia="Calibri" w:hAnsi="Arial" w:cs="Arial"/>
        </w:rPr>
        <w:t>or CEO.</w:t>
      </w:r>
      <w:r w:rsidRPr="007E6167">
        <w:rPr>
          <w:rStyle w:val="LPPBodytextChar"/>
          <w:rFonts w:ascii="Arial" w:eastAsia="Calibri" w:hAnsi="Arial" w:cs="Arial"/>
        </w:rPr>
        <w:t xml:space="preserve"> (Result: 39.5% against).</w:t>
      </w:r>
      <w:r w:rsidRPr="00EF105D">
        <w:rPr>
          <w:rStyle w:val="LPPBodytextChar"/>
          <w:rFonts w:ascii="Arial" w:eastAsia="Calibri" w:hAnsi="Arial" w:cs="Arial"/>
        </w:rPr>
        <w:t xml:space="preserve"> </w:t>
      </w:r>
    </w:p>
    <w:p w:rsidR="00AC2634" w:rsidRPr="007E6167" w:rsidRDefault="009766EF" w:rsidP="00AC2634">
      <w:pPr>
        <w:spacing w:after="0" w:line="240" w:lineRule="auto"/>
        <w:rPr>
          <w:rFonts w:ascii="Arial" w:hAnsi="Arial" w:cs="Arial"/>
          <w:color w:val="000000"/>
          <w:sz w:val="20"/>
          <w:szCs w:val="20"/>
        </w:rPr>
      </w:pPr>
    </w:p>
    <w:p w:rsidR="00AC2634" w:rsidRPr="007E6167" w:rsidRDefault="009766EF" w:rsidP="00AC2634">
      <w:pPr>
        <w:spacing w:after="0" w:line="240" w:lineRule="auto"/>
        <w:rPr>
          <w:rFonts w:ascii="Arial" w:hAnsi="Arial" w:cs="Arial"/>
          <w:color w:val="000000"/>
          <w:sz w:val="20"/>
          <w:szCs w:val="20"/>
        </w:rPr>
      </w:pPr>
      <w:r>
        <w:rPr>
          <w:rFonts w:ascii="Arial" w:hAnsi="Arial" w:cs="Arial"/>
          <w:color w:val="000000"/>
          <w:sz w:val="20"/>
          <w:szCs w:val="20"/>
        </w:rPr>
        <w:t xml:space="preserve">At </w:t>
      </w:r>
      <w:proofErr w:type="spellStart"/>
      <w:r w:rsidRPr="007E6167">
        <w:rPr>
          <w:rFonts w:ascii="Arial" w:hAnsi="Arial" w:cs="Arial"/>
          <w:color w:val="000000"/>
          <w:sz w:val="20"/>
          <w:szCs w:val="20"/>
        </w:rPr>
        <w:t>Yandex</w:t>
      </w:r>
      <w:proofErr w:type="spellEnd"/>
      <w:r w:rsidRPr="007E6167">
        <w:rPr>
          <w:rFonts w:ascii="Arial" w:hAnsi="Arial" w:cs="Arial"/>
          <w:color w:val="000000"/>
          <w:sz w:val="20"/>
          <w:szCs w:val="20"/>
        </w:rPr>
        <w:t xml:space="preserve"> NV (Netherlands: Interactive Median &amp; Services) LPPI </w:t>
      </w:r>
      <w:r>
        <w:rPr>
          <w:rFonts w:ascii="Arial" w:hAnsi="Arial" w:cs="Arial"/>
          <w:color w:val="000000"/>
          <w:sz w:val="20"/>
          <w:szCs w:val="20"/>
        </w:rPr>
        <w:t>opposed</w:t>
      </w:r>
      <w:r w:rsidRPr="007E6167">
        <w:rPr>
          <w:rFonts w:ascii="Arial" w:hAnsi="Arial" w:cs="Arial"/>
          <w:color w:val="000000"/>
          <w:sz w:val="20"/>
          <w:szCs w:val="20"/>
        </w:rPr>
        <w:t xml:space="preserve"> </w:t>
      </w:r>
      <w:r>
        <w:rPr>
          <w:rFonts w:ascii="Arial" w:hAnsi="Arial" w:cs="Arial"/>
          <w:color w:val="000000"/>
          <w:sz w:val="20"/>
          <w:szCs w:val="20"/>
        </w:rPr>
        <w:t xml:space="preserve">a </w:t>
      </w:r>
      <w:r w:rsidRPr="007E6167">
        <w:rPr>
          <w:rFonts w:ascii="Arial" w:hAnsi="Arial" w:cs="Arial"/>
          <w:color w:val="000000"/>
          <w:sz w:val="20"/>
          <w:szCs w:val="20"/>
        </w:rPr>
        <w:t>proposal to amend the Equity Incentive Plan</w:t>
      </w:r>
      <w:r>
        <w:rPr>
          <w:rFonts w:ascii="Arial" w:hAnsi="Arial" w:cs="Arial"/>
          <w:color w:val="000000"/>
          <w:sz w:val="20"/>
          <w:szCs w:val="20"/>
        </w:rPr>
        <w:t xml:space="preserve"> (agreed in 2016) on the basis that the plan would </w:t>
      </w:r>
      <w:r w:rsidRPr="007E6167">
        <w:rPr>
          <w:rFonts w:ascii="Arial" w:hAnsi="Arial" w:cs="Arial"/>
          <w:color w:val="000000"/>
          <w:sz w:val="20"/>
          <w:szCs w:val="20"/>
        </w:rPr>
        <w:t>fall short o</w:t>
      </w:r>
      <w:r>
        <w:rPr>
          <w:rFonts w:ascii="Arial" w:hAnsi="Arial" w:cs="Arial"/>
          <w:color w:val="000000"/>
          <w:sz w:val="20"/>
          <w:szCs w:val="20"/>
        </w:rPr>
        <w:t>n</w:t>
      </w:r>
      <w:r w:rsidRPr="007E6167">
        <w:rPr>
          <w:rFonts w:ascii="Arial" w:hAnsi="Arial" w:cs="Arial"/>
          <w:color w:val="000000"/>
          <w:sz w:val="20"/>
          <w:szCs w:val="20"/>
        </w:rPr>
        <w:t xml:space="preserve"> a number of </w:t>
      </w:r>
      <w:r>
        <w:rPr>
          <w:rFonts w:ascii="Arial" w:hAnsi="Arial" w:cs="Arial"/>
          <w:color w:val="000000"/>
          <w:sz w:val="20"/>
          <w:szCs w:val="20"/>
        </w:rPr>
        <w:t xml:space="preserve">best practice </w:t>
      </w:r>
      <w:r w:rsidRPr="007E6167">
        <w:rPr>
          <w:rFonts w:ascii="Arial" w:hAnsi="Arial" w:cs="Arial"/>
          <w:color w:val="000000"/>
          <w:sz w:val="20"/>
          <w:szCs w:val="20"/>
        </w:rPr>
        <w:t>conditions</w:t>
      </w:r>
      <w:r>
        <w:rPr>
          <w:rFonts w:ascii="Arial" w:hAnsi="Arial" w:cs="Arial"/>
          <w:color w:val="000000"/>
          <w:sz w:val="20"/>
          <w:szCs w:val="20"/>
        </w:rPr>
        <w:t xml:space="preserve">. These </w:t>
      </w:r>
      <w:r w:rsidRPr="007E6167">
        <w:rPr>
          <w:rFonts w:ascii="Arial" w:hAnsi="Arial" w:cs="Arial"/>
          <w:color w:val="000000"/>
          <w:sz w:val="20"/>
          <w:szCs w:val="20"/>
        </w:rPr>
        <w:t>includ</w:t>
      </w:r>
      <w:r>
        <w:rPr>
          <w:rFonts w:ascii="Arial" w:hAnsi="Arial" w:cs="Arial"/>
          <w:color w:val="000000"/>
          <w:sz w:val="20"/>
          <w:szCs w:val="20"/>
        </w:rPr>
        <w:t>e the</w:t>
      </w:r>
      <w:r w:rsidRPr="007E6167">
        <w:rPr>
          <w:rFonts w:ascii="Arial" w:hAnsi="Arial" w:cs="Arial"/>
          <w:color w:val="000000"/>
          <w:sz w:val="20"/>
          <w:szCs w:val="20"/>
        </w:rPr>
        <w:t xml:space="preserve"> vesting period </w:t>
      </w:r>
      <w:r>
        <w:rPr>
          <w:rFonts w:ascii="Arial" w:hAnsi="Arial" w:cs="Arial"/>
          <w:color w:val="000000"/>
          <w:sz w:val="20"/>
          <w:szCs w:val="20"/>
        </w:rPr>
        <w:t xml:space="preserve">(the time to be waited until shares are unconditionally owned by the recipient) being of </w:t>
      </w:r>
      <w:r w:rsidRPr="007E6167">
        <w:rPr>
          <w:rFonts w:ascii="Arial" w:hAnsi="Arial" w:cs="Arial"/>
          <w:color w:val="000000"/>
          <w:sz w:val="20"/>
          <w:szCs w:val="20"/>
        </w:rPr>
        <w:t>insufficient length</w:t>
      </w:r>
      <w:r>
        <w:rPr>
          <w:rFonts w:ascii="Arial" w:hAnsi="Arial" w:cs="Arial"/>
          <w:color w:val="000000"/>
          <w:sz w:val="20"/>
          <w:szCs w:val="20"/>
        </w:rPr>
        <w:t xml:space="preserve"> and non-executive directors being entitled to participate in the scheme</w:t>
      </w:r>
      <w:r w:rsidRPr="007E6167">
        <w:rPr>
          <w:rFonts w:ascii="Arial" w:hAnsi="Arial" w:cs="Arial"/>
          <w:color w:val="000000"/>
          <w:sz w:val="20"/>
          <w:szCs w:val="20"/>
        </w:rPr>
        <w:t xml:space="preserve">. (Result: 27.2% against). </w:t>
      </w:r>
    </w:p>
    <w:p w:rsidR="00AC2634" w:rsidRDefault="009766EF" w:rsidP="00AC2634">
      <w:pPr>
        <w:autoSpaceDE w:val="0"/>
        <w:autoSpaceDN w:val="0"/>
        <w:adjustRightInd w:val="0"/>
        <w:spacing w:after="0"/>
        <w:rPr>
          <w:rFonts w:ascii="Arial" w:hAnsi="Arial" w:cs="Arial"/>
          <w:bCs/>
          <w:sz w:val="20"/>
          <w:szCs w:val="20"/>
        </w:rPr>
      </w:pPr>
    </w:p>
    <w:p w:rsidR="0002189C" w:rsidRPr="0002189C" w:rsidRDefault="009766EF" w:rsidP="0002189C">
      <w:pPr>
        <w:spacing w:after="0" w:line="240" w:lineRule="auto"/>
        <w:rPr>
          <w:rFonts w:ascii="Arial" w:hAnsi="Arial" w:cs="Arial"/>
          <w:color w:val="000000"/>
          <w:sz w:val="20"/>
          <w:szCs w:val="20"/>
        </w:rPr>
      </w:pPr>
      <w:r w:rsidRPr="0002189C">
        <w:rPr>
          <w:rFonts w:ascii="Arial" w:hAnsi="Arial" w:cs="Arial"/>
          <w:color w:val="000000"/>
          <w:sz w:val="20"/>
          <w:szCs w:val="20"/>
        </w:rPr>
        <w:t xml:space="preserve">LPPI supported 130 shareholder proposals across 86 company meetings in Q2. </w:t>
      </w:r>
    </w:p>
    <w:p w:rsidR="0002189C" w:rsidRPr="0002189C" w:rsidRDefault="009766EF" w:rsidP="0002189C">
      <w:pPr>
        <w:spacing w:after="0" w:line="240" w:lineRule="auto"/>
        <w:rPr>
          <w:rFonts w:ascii="Arial" w:hAnsi="Arial" w:cs="Arial"/>
          <w:color w:val="000000"/>
          <w:sz w:val="20"/>
          <w:szCs w:val="20"/>
        </w:rPr>
      </w:pPr>
      <w:r>
        <w:rPr>
          <w:rFonts w:ascii="Arial" w:hAnsi="Arial" w:cs="Arial"/>
          <w:color w:val="000000"/>
          <w:sz w:val="20"/>
          <w:szCs w:val="20"/>
        </w:rPr>
        <w:t>F</w:t>
      </w:r>
      <w:r w:rsidRPr="0002189C">
        <w:rPr>
          <w:rFonts w:ascii="Arial" w:hAnsi="Arial" w:cs="Arial"/>
          <w:color w:val="000000"/>
          <w:sz w:val="20"/>
          <w:szCs w:val="20"/>
        </w:rPr>
        <w:t xml:space="preserve">amiliar </w:t>
      </w:r>
      <w:r>
        <w:rPr>
          <w:rFonts w:ascii="Arial" w:hAnsi="Arial" w:cs="Arial"/>
          <w:color w:val="000000"/>
          <w:sz w:val="20"/>
          <w:szCs w:val="20"/>
        </w:rPr>
        <w:t>t</w:t>
      </w:r>
      <w:r w:rsidRPr="0002189C">
        <w:rPr>
          <w:rFonts w:ascii="Arial" w:hAnsi="Arial" w:cs="Arial"/>
          <w:color w:val="000000"/>
          <w:sz w:val="20"/>
          <w:szCs w:val="20"/>
        </w:rPr>
        <w:t xml:space="preserve">hemes from prior proxy seasons </w:t>
      </w:r>
      <w:r>
        <w:rPr>
          <w:rFonts w:ascii="Arial" w:hAnsi="Arial" w:cs="Arial"/>
          <w:color w:val="000000"/>
          <w:sz w:val="20"/>
          <w:szCs w:val="20"/>
        </w:rPr>
        <w:t xml:space="preserve">continued to arise </w:t>
      </w:r>
      <w:r w:rsidRPr="0002189C">
        <w:rPr>
          <w:rFonts w:ascii="Arial" w:hAnsi="Arial" w:cs="Arial"/>
          <w:color w:val="000000"/>
          <w:sz w:val="20"/>
          <w:szCs w:val="20"/>
        </w:rPr>
        <w:t xml:space="preserve">in 2019 </w:t>
      </w:r>
      <w:r>
        <w:rPr>
          <w:rFonts w:ascii="Arial" w:hAnsi="Arial" w:cs="Arial"/>
          <w:color w:val="000000"/>
          <w:sz w:val="20"/>
          <w:szCs w:val="20"/>
        </w:rPr>
        <w:t>with</w:t>
      </w:r>
      <w:r w:rsidRPr="0002189C">
        <w:rPr>
          <w:rFonts w:ascii="Arial" w:hAnsi="Arial" w:cs="Arial"/>
          <w:color w:val="000000"/>
          <w:sz w:val="20"/>
          <w:szCs w:val="20"/>
        </w:rPr>
        <w:t xml:space="preserve"> resolutions callin</w:t>
      </w:r>
      <w:r>
        <w:rPr>
          <w:rFonts w:ascii="Arial" w:hAnsi="Arial" w:cs="Arial"/>
          <w:color w:val="000000"/>
          <w:sz w:val="20"/>
          <w:szCs w:val="20"/>
        </w:rPr>
        <w:t>g for</w:t>
      </w:r>
      <w:r w:rsidRPr="0002189C">
        <w:rPr>
          <w:rFonts w:ascii="Arial" w:hAnsi="Arial" w:cs="Arial"/>
          <w:color w:val="000000"/>
          <w:sz w:val="20"/>
          <w:szCs w:val="20"/>
        </w:rPr>
        <w:t>:</w:t>
      </w:r>
    </w:p>
    <w:p w:rsidR="0002189C" w:rsidRPr="0002189C" w:rsidRDefault="009766EF" w:rsidP="008501E0">
      <w:pPr>
        <w:pStyle w:val="ListParagraph"/>
        <w:numPr>
          <w:ilvl w:val="0"/>
          <w:numId w:val="22"/>
        </w:numPr>
        <w:spacing w:after="0" w:line="240" w:lineRule="auto"/>
        <w:ind w:left="426" w:hanging="426"/>
        <w:rPr>
          <w:rFonts w:ascii="Arial" w:hAnsi="Arial" w:cs="Arial"/>
          <w:color w:val="000000"/>
          <w:sz w:val="20"/>
          <w:szCs w:val="20"/>
        </w:rPr>
      </w:pPr>
      <w:r w:rsidRPr="0002189C">
        <w:rPr>
          <w:rFonts w:ascii="Arial" w:hAnsi="Arial" w:cs="Arial"/>
          <w:color w:val="000000"/>
          <w:sz w:val="20"/>
          <w:szCs w:val="20"/>
        </w:rPr>
        <w:t>improved shareholder rights (one share one vote, reduced thresholds for calling me</w:t>
      </w:r>
      <w:r w:rsidRPr="0002189C">
        <w:rPr>
          <w:rFonts w:ascii="Arial" w:hAnsi="Arial" w:cs="Arial"/>
          <w:color w:val="000000"/>
          <w:sz w:val="20"/>
          <w:szCs w:val="20"/>
        </w:rPr>
        <w:t xml:space="preserve">etings and submitting shareholder resolutions, proxy access /the right to nominate candidates); </w:t>
      </w:r>
    </w:p>
    <w:p w:rsidR="0033103F" w:rsidRDefault="009766EF" w:rsidP="008501E0">
      <w:pPr>
        <w:pStyle w:val="ListParagraph"/>
        <w:numPr>
          <w:ilvl w:val="0"/>
          <w:numId w:val="22"/>
        </w:numPr>
        <w:spacing w:after="0" w:line="240" w:lineRule="auto"/>
        <w:ind w:left="426" w:hanging="426"/>
        <w:rPr>
          <w:rFonts w:ascii="Arial" w:hAnsi="Arial" w:cs="Arial"/>
          <w:color w:val="000000"/>
          <w:sz w:val="20"/>
          <w:szCs w:val="20"/>
        </w:rPr>
      </w:pPr>
      <w:r w:rsidRPr="0002189C">
        <w:rPr>
          <w:rFonts w:ascii="Arial" w:hAnsi="Arial" w:cs="Arial"/>
          <w:color w:val="000000"/>
          <w:sz w:val="20"/>
          <w:szCs w:val="20"/>
        </w:rPr>
        <w:t>greater transparency (reporting on political lobbying, pay differentials, human rights within supply chains, climate change management</w:t>
      </w:r>
      <w:r>
        <w:rPr>
          <w:rFonts w:ascii="Arial" w:hAnsi="Arial" w:cs="Arial"/>
          <w:color w:val="000000"/>
          <w:sz w:val="20"/>
          <w:szCs w:val="20"/>
        </w:rPr>
        <w:t xml:space="preserve"> and reporting on emissio</w:t>
      </w:r>
      <w:r>
        <w:rPr>
          <w:rFonts w:ascii="Arial" w:hAnsi="Arial" w:cs="Arial"/>
          <w:color w:val="000000"/>
          <w:sz w:val="20"/>
          <w:szCs w:val="20"/>
        </w:rPr>
        <w:t>ns reduction</w:t>
      </w:r>
      <w:r w:rsidRPr="0002189C">
        <w:rPr>
          <w:rFonts w:ascii="Arial" w:hAnsi="Arial" w:cs="Arial"/>
          <w:color w:val="000000"/>
          <w:sz w:val="20"/>
          <w:szCs w:val="20"/>
        </w:rPr>
        <w:t xml:space="preserve">); </w:t>
      </w:r>
    </w:p>
    <w:p w:rsidR="0002189C" w:rsidRPr="0002189C" w:rsidRDefault="009766EF" w:rsidP="008501E0">
      <w:pPr>
        <w:pStyle w:val="ListParagraph"/>
        <w:numPr>
          <w:ilvl w:val="0"/>
          <w:numId w:val="22"/>
        </w:numPr>
        <w:spacing w:after="0" w:line="240" w:lineRule="auto"/>
        <w:ind w:left="426" w:hanging="426"/>
        <w:rPr>
          <w:rFonts w:ascii="Arial" w:hAnsi="Arial" w:cs="Arial"/>
          <w:color w:val="000000"/>
          <w:sz w:val="20"/>
          <w:szCs w:val="20"/>
        </w:rPr>
      </w:pPr>
      <w:proofErr w:type="gramStart"/>
      <w:r w:rsidRPr="0002189C">
        <w:rPr>
          <w:rFonts w:ascii="Arial" w:hAnsi="Arial" w:cs="Arial"/>
          <w:color w:val="000000"/>
          <w:sz w:val="20"/>
          <w:szCs w:val="20"/>
        </w:rPr>
        <w:t>corporate</w:t>
      </w:r>
      <w:proofErr w:type="gramEnd"/>
      <w:r w:rsidRPr="0002189C">
        <w:rPr>
          <w:rFonts w:ascii="Arial" w:hAnsi="Arial" w:cs="Arial"/>
          <w:color w:val="000000"/>
          <w:sz w:val="20"/>
          <w:szCs w:val="20"/>
        </w:rPr>
        <w:t xml:space="preserve"> governance best practice (Separation of Chair and CEO roles, independent chairman, performance-linked remuneration, nomination practices to address board diversity and sustainability).</w:t>
      </w:r>
    </w:p>
    <w:p w:rsidR="00C312E4" w:rsidRDefault="009766EF" w:rsidP="00C312E4">
      <w:pPr>
        <w:spacing w:after="0" w:line="240" w:lineRule="auto"/>
        <w:rPr>
          <w:rFonts w:ascii="Arial" w:hAnsi="Arial" w:cs="Arial"/>
          <w:color w:val="000000"/>
          <w:sz w:val="20"/>
          <w:szCs w:val="20"/>
        </w:rPr>
      </w:pPr>
    </w:p>
    <w:p w:rsidR="00C312E4" w:rsidRDefault="009766EF" w:rsidP="00C312E4">
      <w:pPr>
        <w:spacing w:after="0" w:line="240" w:lineRule="auto"/>
        <w:rPr>
          <w:rFonts w:ascii="Arial" w:hAnsi="Arial" w:cs="Arial"/>
          <w:color w:val="000000"/>
          <w:sz w:val="20"/>
          <w:szCs w:val="20"/>
        </w:rPr>
      </w:pPr>
      <w:r>
        <w:rPr>
          <w:rFonts w:ascii="Arial" w:hAnsi="Arial" w:cs="Arial"/>
          <w:color w:val="000000"/>
          <w:sz w:val="20"/>
          <w:szCs w:val="20"/>
        </w:rPr>
        <w:t>T</w:t>
      </w:r>
      <w:r w:rsidRPr="00C312E4">
        <w:rPr>
          <w:rFonts w:ascii="Arial" w:hAnsi="Arial" w:cs="Arial"/>
          <w:color w:val="000000"/>
          <w:sz w:val="20"/>
          <w:szCs w:val="20"/>
        </w:rPr>
        <w:t xml:space="preserve">here were resolutions on gender pay gap </w:t>
      </w:r>
      <w:r w:rsidRPr="00C312E4">
        <w:rPr>
          <w:rFonts w:ascii="Arial" w:hAnsi="Arial" w:cs="Arial"/>
          <w:color w:val="000000"/>
          <w:sz w:val="20"/>
          <w:szCs w:val="20"/>
        </w:rPr>
        <w:t>reporting at 8 compan</w:t>
      </w:r>
      <w:r>
        <w:rPr>
          <w:rFonts w:ascii="Arial" w:hAnsi="Arial" w:cs="Arial"/>
          <w:color w:val="000000"/>
          <w:sz w:val="20"/>
          <w:szCs w:val="20"/>
        </w:rPr>
        <w:t>y meetings</w:t>
      </w:r>
      <w:r w:rsidRPr="00C312E4">
        <w:rPr>
          <w:rFonts w:ascii="Arial" w:hAnsi="Arial" w:cs="Arial"/>
          <w:color w:val="000000"/>
          <w:sz w:val="20"/>
          <w:szCs w:val="20"/>
        </w:rPr>
        <w:t xml:space="preserve">, including repeat proposals at </w:t>
      </w:r>
      <w:r>
        <w:rPr>
          <w:rFonts w:ascii="Arial" w:hAnsi="Arial" w:cs="Arial"/>
          <w:color w:val="000000"/>
          <w:sz w:val="20"/>
          <w:szCs w:val="20"/>
        </w:rPr>
        <w:t xml:space="preserve">both </w:t>
      </w:r>
      <w:r w:rsidRPr="00C312E4">
        <w:rPr>
          <w:rFonts w:ascii="Arial" w:hAnsi="Arial" w:cs="Arial"/>
          <w:color w:val="000000"/>
          <w:sz w:val="20"/>
          <w:szCs w:val="20"/>
        </w:rPr>
        <w:t>Facebook and Alphabet (Google)</w:t>
      </w:r>
      <w:r>
        <w:rPr>
          <w:rFonts w:ascii="Arial" w:hAnsi="Arial" w:cs="Arial"/>
          <w:color w:val="000000"/>
          <w:sz w:val="20"/>
          <w:szCs w:val="20"/>
        </w:rPr>
        <w:t xml:space="preserve"> following a </w:t>
      </w:r>
      <w:r w:rsidRPr="00C312E4">
        <w:rPr>
          <w:rFonts w:ascii="Arial" w:hAnsi="Arial" w:cs="Arial"/>
          <w:color w:val="000000"/>
          <w:sz w:val="20"/>
          <w:szCs w:val="20"/>
        </w:rPr>
        <w:t>failure to receive adequate support in 2018 (</w:t>
      </w:r>
      <w:r>
        <w:rPr>
          <w:rFonts w:ascii="Arial" w:hAnsi="Arial" w:cs="Arial"/>
          <w:color w:val="000000"/>
          <w:sz w:val="20"/>
          <w:szCs w:val="20"/>
        </w:rPr>
        <w:t xml:space="preserve">a position </w:t>
      </w:r>
      <w:r w:rsidRPr="00C312E4">
        <w:rPr>
          <w:rFonts w:ascii="Arial" w:hAnsi="Arial" w:cs="Arial"/>
          <w:color w:val="000000"/>
          <w:sz w:val="20"/>
          <w:szCs w:val="20"/>
        </w:rPr>
        <w:t>ultimately repeated in 2019).</w:t>
      </w:r>
      <w:r>
        <w:rPr>
          <w:rFonts w:ascii="Arial" w:hAnsi="Arial" w:cs="Arial"/>
          <w:color w:val="000000"/>
          <w:sz w:val="20"/>
          <w:szCs w:val="20"/>
        </w:rPr>
        <w:t xml:space="preserve"> At Facebook support was 9% down from 10% in 2018 and at Alp</w:t>
      </w:r>
      <w:r>
        <w:rPr>
          <w:rFonts w:ascii="Arial" w:hAnsi="Arial" w:cs="Arial"/>
          <w:color w:val="000000"/>
          <w:sz w:val="20"/>
          <w:szCs w:val="20"/>
        </w:rPr>
        <w:t>habet support was 11% down from 16% in 2018.</w:t>
      </w:r>
    </w:p>
    <w:p w:rsidR="00573C8D" w:rsidRDefault="009766EF" w:rsidP="00C312E4">
      <w:pPr>
        <w:spacing w:after="0" w:line="240" w:lineRule="auto"/>
        <w:rPr>
          <w:rFonts w:ascii="Arial" w:hAnsi="Arial" w:cs="Arial"/>
          <w:color w:val="000000"/>
          <w:sz w:val="20"/>
          <w:szCs w:val="20"/>
        </w:rPr>
      </w:pPr>
    </w:p>
    <w:p w:rsidR="00573C8D" w:rsidRPr="00A4324C" w:rsidRDefault="009766EF" w:rsidP="00573C8D">
      <w:pPr>
        <w:spacing w:after="0" w:line="240" w:lineRule="auto"/>
        <w:rPr>
          <w:rFonts w:ascii="Arial" w:hAnsi="Arial" w:cs="Arial"/>
          <w:sz w:val="20"/>
          <w:szCs w:val="18"/>
        </w:rPr>
      </w:pPr>
      <w:r>
        <w:rPr>
          <w:rFonts w:ascii="Arial" w:hAnsi="Arial" w:cs="Arial"/>
          <w:sz w:val="20"/>
          <w:szCs w:val="18"/>
        </w:rPr>
        <w:lastRenderedPageBreak/>
        <w:t xml:space="preserve">At Waste Connections </w:t>
      </w:r>
      <w:proofErr w:type="spellStart"/>
      <w:r>
        <w:rPr>
          <w:rFonts w:ascii="Arial" w:hAnsi="Arial" w:cs="Arial"/>
          <w:sz w:val="20"/>
          <w:szCs w:val="18"/>
        </w:rPr>
        <w:t>Inc</w:t>
      </w:r>
      <w:proofErr w:type="spellEnd"/>
      <w:r>
        <w:rPr>
          <w:rFonts w:ascii="Arial" w:hAnsi="Arial" w:cs="Arial"/>
          <w:sz w:val="20"/>
          <w:szCs w:val="18"/>
        </w:rPr>
        <w:t xml:space="preserve"> (Canada: </w:t>
      </w:r>
      <w:proofErr w:type="spellStart"/>
      <w:r>
        <w:rPr>
          <w:rFonts w:ascii="Arial" w:hAnsi="Arial" w:cs="Arial"/>
          <w:sz w:val="20"/>
          <w:szCs w:val="18"/>
        </w:rPr>
        <w:t>Env</w:t>
      </w:r>
      <w:proofErr w:type="spellEnd"/>
      <w:r>
        <w:rPr>
          <w:rFonts w:ascii="Arial" w:hAnsi="Arial" w:cs="Arial"/>
          <w:sz w:val="20"/>
          <w:szCs w:val="18"/>
        </w:rPr>
        <w:t xml:space="preserve"> &amp; Facilities Services) LPPI supported a shareholder proposal seeking </w:t>
      </w:r>
      <w:r w:rsidRPr="00A4324C">
        <w:rPr>
          <w:rFonts w:ascii="Arial" w:hAnsi="Arial" w:cs="Arial"/>
          <w:sz w:val="20"/>
          <w:szCs w:val="18"/>
        </w:rPr>
        <w:t xml:space="preserve">a formal written diversity policy and </w:t>
      </w:r>
      <w:r>
        <w:rPr>
          <w:rFonts w:ascii="Arial" w:hAnsi="Arial" w:cs="Arial"/>
          <w:sz w:val="20"/>
          <w:szCs w:val="18"/>
        </w:rPr>
        <w:t xml:space="preserve">a </w:t>
      </w:r>
      <w:r w:rsidRPr="00A4324C">
        <w:rPr>
          <w:rFonts w:ascii="Arial" w:hAnsi="Arial" w:cs="Arial"/>
          <w:sz w:val="20"/>
          <w:szCs w:val="18"/>
        </w:rPr>
        <w:t xml:space="preserve">report on plans to increase the representation of women on the </w:t>
      </w:r>
      <w:r w:rsidRPr="00A4324C">
        <w:rPr>
          <w:rFonts w:ascii="Arial" w:hAnsi="Arial" w:cs="Arial"/>
          <w:sz w:val="20"/>
          <w:szCs w:val="18"/>
        </w:rPr>
        <w:t>board and among executive officers.</w:t>
      </w:r>
      <w:r>
        <w:rPr>
          <w:rFonts w:ascii="Arial" w:hAnsi="Arial" w:cs="Arial"/>
          <w:sz w:val="20"/>
          <w:szCs w:val="18"/>
        </w:rPr>
        <w:t xml:space="preserve"> </w:t>
      </w:r>
      <w:r w:rsidRPr="00573C8D">
        <w:rPr>
          <w:rFonts w:ascii="Arial" w:hAnsi="Arial" w:cs="Arial"/>
          <w:sz w:val="20"/>
          <w:szCs w:val="18"/>
        </w:rPr>
        <w:t>Currently, Waste Connections has six directors, including one woman. Its eleven-member executive team includes one woman.</w:t>
      </w:r>
      <w:r>
        <w:rPr>
          <w:rFonts w:ascii="Arial" w:hAnsi="Arial" w:cs="Arial"/>
          <w:sz w:val="20"/>
          <w:szCs w:val="18"/>
        </w:rPr>
        <w:t xml:space="preserve"> The proposal received 64.5% support and passed.</w:t>
      </w:r>
    </w:p>
    <w:p w:rsidR="00573C8D" w:rsidRDefault="009766EF" w:rsidP="00C312E4">
      <w:pPr>
        <w:spacing w:after="0" w:line="240" w:lineRule="auto"/>
        <w:rPr>
          <w:rFonts w:ascii="Arial" w:hAnsi="Arial" w:cs="Arial"/>
          <w:sz w:val="20"/>
          <w:szCs w:val="18"/>
        </w:rPr>
      </w:pPr>
    </w:p>
    <w:p w:rsidR="00573C8D" w:rsidRPr="00573C8D" w:rsidRDefault="009766EF" w:rsidP="00C312E4">
      <w:pPr>
        <w:spacing w:after="0" w:line="240" w:lineRule="auto"/>
        <w:rPr>
          <w:rFonts w:ascii="Arial" w:hAnsi="Arial" w:cs="Arial"/>
          <w:sz w:val="20"/>
          <w:szCs w:val="18"/>
        </w:rPr>
      </w:pPr>
      <w:r>
        <w:rPr>
          <w:rFonts w:ascii="Arial" w:hAnsi="Arial" w:cs="Arial"/>
          <w:sz w:val="20"/>
          <w:szCs w:val="18"/>
        </w:rPr>
        <w:t>At t</w:t>
      </w:r>
      <w:r w:rsidRPr="00573C8D">
        <w:rPr>
          <w:rFonts w:ascii="Arial" w:hAnsi="Arial" w:cs="Arial"/>
          <w:sz w:val="20"/>
          <w:szCs w:val="18"/>
        </w:rPr>
        <w:t>he Travelers Companies, Inc.</w:t>
      </w:r>
      <w:r>
        <w:rPr>
          <w:rFonts w:ascii="Arial" w:hAnsi="Arial" w:cs="Arial"/>
          <w:sz w:val="20"/>
          <w:szCs w:val="18"/>
        </w:rPr>
        <w:t xml:space="preserve"> (US:</w:t>
      </w:r>
      <w:r w:rsidRPr="00573C8D">
        <w:rPr>
          <w:rFonts w:ascii="Arial" w:hAnsi="Arial" w:cs="Arial"/>
          <w:sz w:val="20"/>
          <w:szCs w:val="18"/>
        </w:rPr>
        <w:t xml:space="preserve"> </w:t>
      </w:r>
      <w:r>
        <w:rPr>
          <w:rFonts w:ascii="Arial" w:hAnsi="Arial" w:cs="Arial"/>
          <w:sz w:val="20"/>
          <w:szCs w:val="18"/>
        </w:rPr>
        <w:t xml:space="preserve">Property &amp; </w:t>
      </w:r>
      <w:r>
        <w:rPr>
          <w:rFonts w:ascii="Arial" w:hAnsi="Arial" w:cs="Arial"/>
          <w:sz w:val="20"/>
          <w:szCs w:val="18"/>
        </w:rPr>
        <w:t>Casualty Insurance) LPPI</w:t>
      </w:r>
      <w:r w:rsidRPr="00573C8D">
        <w:rPr>
          <w:rFonts w:ascii="Arial" w:hAnsi="Arial" w:cs="Arial"/>
          <w:sz w:val="20"/>
          <w:szCs w:val="18"/>
        </w:rPr>
        <w:t xml:space="preserve"> </w:t>
      </w:r>
      <w:r>
        <w:rPr>
          <w:rFonts w:ascii="Arial" w:hAnsi="Arial" w:cs="Arial"/>
          <w:sz w:val="20"/>
          <w:szCs w:val="18"/>
        </w:rPr>
        <w:t>supported a shareholder proposal seeking</w:t>
      </w:r>
      <w:r w:rsidRPr="00573C8D">
        <w:rPr>
          <w:rFonts w:ascii="Arial" w:hAnsi="Arial" w:cs="Arial"/>
          <w:sz w:val="20"/>
          <w:szCs w:val="18"/>
        </w:rPr>
        <w:t xml:space="preserve"> a diversity report that would include the company's diversity policies, programs, and the gender and racial composition of the company's workforce. The </w:t>
      </w:r>
      <w:r>
        <w:rPr>
          <w:rFonts w:ascii="Arial" w:hAnsi="Arial" w:cs="Arial"/>
          <w:sz w:val="20"/>
          <w:szCs w:val="18"/>
        </w:rPr>
        <w:t xml:space="preserve">intent was to have </w:t>
      </w:r>
      <w:r w:rsidRPr="00573C8D">
        <w:rPr>
          <w:rFonts w:ascii="Arial" w:hAnsi="Arial" w:cs="Arial"/>
          <w:sz w:val="20"/>
          <w:szCs w:val="18"/>
        </w:rPr>
        <w:t>a</w:t>
      </w:r>
      <w:r>
        <w:rPr>
          <w:rFonts w:ascii="Arial" w:hAnsi="Arial" w:cs="Arial"/>
          <w:sz w:val="20"/>
          <w:szCs w:val="18"/>
        </w:rPr>
        <w:t xml:space="preserve"> reasonable</w:t>
      </w:r>
      <w:r w:rsidRPr="00573C8D">
        <w:rPr>
          <w:rFonts w:ascii="Arial" w:hAnsi="Arial" w:cs="Arial"/>
          <w:sz w:val="20"/>
          <w:szCs w:val="18"/>
        </w:rPr>
        <w:t xml:space="preserve"> basis </w:t>
      </w:r>
      <w:r w:rsidRPr="00573C8D">
        <w:rPr>
          <w:rFonts w:ascii="Arial" w:hAnsi="Arial" w:cs="Arial"/>
          <w:sz w:val="20"/>
          <w:szCs w:val="18"/>
        </w:rPr>
        <w:t>for enabling shareholders to evaluate progress over time in advancing women and minorities to management or executive levels</w:t>
      </w:r>
      <w:r>
        <w:rPr>
          <w:rFonts w:ascii="Arial" w:hAnsi="Arial" w:cs="Arial"/>
          <w:sz w:val="20"/>
          <w:szCs w:val="18"/>
        </w:rPr>
        <w:t>, something which is not currently supported by existing disclosure</w:t>
      </w:r>
      <w:r w:rsidRPr="00573C8D">
        <w:rPr>
          <w:rFonts w:ascii="Arial" w:hAnsi="Arial" w:cs="Arial"/>
          <w:sz w:val="20"/>
          <w:szCs w:val="18"/>
        </w:rPr>
        <w:t>. The resolution received 50.3% support and passed.</w:t>
      </w:r>
    </w:p>
    <w:p w:rsidR="00573C8D" w:rsidRDefault="009766EF" w:rsidP="00FB590B">
      <w:pPr>
        <w:spacing w:after="0" w:line="240" w:lineRule="auto"/>
        <w:rPr>
          <w:rFonts w:ascii="Arial" w:hAnsi="Arial" w:cs="Arial"/>
          <w:bCs/>
          <w:sz w:val="20"/>
          <w:szCs w:val="20"/>
        </w:rPr>
      </w:pPr>
    </w:p>
    <w:p w:rsidR="00FB590B" w:rsidRPr="00022141" w:rsidRDefault="009766EF" w:rsidP="00FB590B">
      <w:pPr>
        <w:spacing w:after="0" w:line="240" w:lineRule="auto"/>
        <w:rPr>
          <w:rFonts w:ascii="Arial" w:hAnsi="Arial" w:cs="Arial"/>
          <w:color w:val="0070C0"/>
          <w:sz w:val="20"/>
          <w:szCs w:val="18"/>
        </w:rPr>
      </w:pPr>
      <w:r>
        <w:rPr>
          <w:rFonts w:ascii="Arial" w:hAnsi="Arial" w:cs="Arial"/>
          <w:sz w:val="20"/>
          <w:szCs w:val="18"/>
        </w:rPr>
        <w:t xml:space="preserve">The </w:t>
      </w:r>
      <w:r w:rsidRPr="00F82FE7">
        <w:rPr>
          <w:rFonts w:ascii="Arial" w:hAnsi="Arial" w:cs="Arial"/>
          <w:sz w:val="20"/>
          <w:szCs w:val="18"/>
        </w:rPr>
        <w:t>Alphabet</w:t>
      </w:r>
      <w:r>
        <w:rPr>
          <w:rFonts w:ascii="Arial" w:hAnsi="Arial" w:cs="Arial"/>
          <w:sz w:val="20"/>
          <w:szCs w:val="18"/>
        </w:rPr>
        <w:t xml:space="preserve"> AGM (USA: Interactive Media &amp; Services) received 13 shareholder proposals on a range of themes, including issues of corporate governance, disclosure, shareholder representation and workforce protection.  During 2018 unsatisfactory employment practices cau</w:t>
      </w:r>
      <w:r>
        <w:rPr>
          <w:rFonts w:ascii="Arial" w:hAnsi="Arial" w:cs="Arial"/>
          <w:sz w:val="20"/>
          <w:szCs w:val="18"/>
        </w:rPr>
        <w:t>sed employees to raise concerns very publicly, specifically around sexual harassment.  In response (and in with the context of negative media coverage) the company issued a conciliatory commitment to do better in future and a remediation plan which has see</w:t>
      </w:r>
      <w:r>
        <w:rPr>
          <w:rFonts w:ascii="Arial" w:hAnsi="Arial" w:cs="Arial"/>
          <w:sz w:val="20"/>
          <w:szCs w:val="18"/>
        </w:rPr>
        <w:t xml:space="preserve">n a range of measures including a revamp of the company’s Policy on harassment , discrimination, retaliation, standards of conduct and </w:t>
      </w:r>
      <w:r w:rsidRPr="00022141">
        <w:rPr>
          <w:rFonts w:ascii="Arial" w:hAnsi="Arial" w:cs="Arial"/>
          <w:sz w:val="20"/>
          <w:szCs w:val="18"/>
        </w:rPr>
        <w:t xml:space="preserve">workplace concerns. </w:t>
      </w:r>
      <w:hyperlink r:id="rId12" w:history="1">
        <w:r w:rsidRPr="00022141">
          <w:rPr>
            <w:rStyle w:val="Hyperlink"/>
            <w:rFonts w:ascii="Arial" w:hAnsi="Arial" w:cs="Arial"/>
            <w:color w:val="0070C0"/>
            <w:sz w:val="20"/>
            <w:szCs w:val="18"/>
          </w:rPr>
          <w:t>http://services.</w:t>
        </w:r>
        <w:r w:rsidRPr="00022141">
          <w:rPr>
            <w:rStyle w:val="Hyperlink"/>
            <w:rFonts w:ascii="Arial" w:hAnsi="Arial" w:cs="Arial"/>
            <w:color w:val="0070C0"/>
            <w:sz w:val="20"/>
            <w:szCs w:val="18"/>
          </w:rPr>
          <w:t>google.com/fh/files/blogs/policy_workplace_concerns.pdf</w:t>
        </w:r>
      </w:hyperlink>
    </w:p>
    <w:p w:rsidR="00F3400C" w:rsidRDefault="009766EF" w:rsidP="00FB590B">
      <w:pPr>
        <w:spacing w:after="0" w:line="240" w:lineRule="auto"/>
        <w:rPr>
          <w:rFonts w:ascii="Arial" w:hAnsi="Arial" w:cs="Arial"/>
          <w:sz w:val="20"/>
          <w:szCs w:val="18"/>
        </w:rPr>
      </w:pPr>
    </w:p>
    <w:p w:rsidR="00022141" w:rsidRPr="00022141" w:rsidRDefault="009766EF" w:rsidP="00FB590B">
      <w:pPr>
        <w:spacing w:after="0" w:line="240" w:lineRule="auto"/>
        <w:rPr>
          <w:rFonts w:ascii="Arial" w:hAnsi="Arial" w:cs="Arial"/>
          <w:sz w:val="20"/>
          <w:szCs w:val="18"/>
        </w:rPr>
      </w:pPr>
      <w:r w:rsidRPr="00022141">
        <w:rPr>
          <w:rFonts w:ascii="Arial" w:hAnsi="Arial" w:cs="Arial"/>
          <w:sz w:val="20"/>
          <w:szCs w:val="18"/>
        </w:rPr>
        <w:t xml:space="preserve">None of the </w:t>
      </w:r>
      <w:r>
        <w:rPr>
          <w:rFonts w:ascii="Arial" w:hAnsi="Arial" w:cs="Arial"/>
          <w:sz w:val="20"/>
          <w:szCs w:val="18"/>
        </w:rPr>
        <w:t xml:space="preserve">shareholder </w:t>
      </w:r>
      <w:r w:rsidRPr="00022141">
        <w:rPr>
          <w:rFonts w:ascii="Arial" w:hAnsi="Arial" w:cs="Arial"/>
          <w:sz w:val="20"/>
          <w:szCs w:val="18"/>
        </w:rPr>
        <w:t xml:space="preserve">proposals </w:t>
      </w:r>
      <w:r>
        <w:rPr>
          <w:rFonts w:ascii="Arial" w:hAnsi="Arial" w:cs="Arial"/>
          <w:sz w:val="20"/>
          <w:szCs w:val="18"/>
        </w:rPr>
        <w:t xml:space="preserve">at Alphabet </w:t>
      </w:r>
      <w:r w:rsidRPr="00022141">
        <w:rPr>
          <w:rFonts w:ascii="Arial" w:hAnsi="Arial" w:cs="Arial"/>
          <w:sz w:val="20"/>
          <w:szCs w:val="18"/>
        </w:rPr>
        <w:t>received</w:t>
      </w:r>
      <w:r>
        <w:rPr>
          <w:rFonts w:ascii="Arial" w:hAnsi="Arial" w:cs="Arial"/>
          <w:sz w:val="20"/>
          <w:szCs w:val="18"/>
        </w:rPr>
        <w:t xml:space="preserve"> majority support. Those receiving greatest support (+30%) related to shareholder representation and remuneration (governance issues) rather t</w:t>
      </w:r>
      <w:r>
        <w:rPr>
          <w:rFonts w:ascii="Arial" w:hAnsi="Arial" w:cs="Arial"/>
          <w:sz w:val="20"/>
          <w:szCs w:val="18"/>
        </w:rPr>
        <w:t>han broader social, ethical, environmental or employee-related concerns.</w:t>
      </w:r>
    </w:p>
    <w:p w:rsidR="00AF2510" w:rsidRPr="00022141" w:rsidRDefault="009766EF" w:rsidP="00FB590B">
      <w:pPr>
        <w:spacing w:after="0" w:line="240" w:lineRule="auto"/>
        <w:rPr>
          <w:rFonts w:ascii="Arial" w:hAnsi="Arial" w:cs="Arial"/>
          <w:sz w:val="20"/>
          <w:szCs w:val="18"/>
        </w:rPr>
      </w:pPr>
    </w:p>
    <w:p w:rsidR="00FB590B" w:rsidRDefault="009766EF" w:rsidP="00FB590B">
      <w:pPr>
        <w:spacing w:after="0" w:line="240" w:lineRule="auto"/>
        <w:rPr>
          <w:rFonts w:ascii="Arial" w:hAnsi="Arial" w:cs="Arial"/>
          <w:sz w:val="20"/>
          <w:szCs w:val="18"/>
        </w:rPr>
      </w:pPr>
      <w:r>
        <w:rPr>
          <w:rFonts w:ascii="Arial" w:hAnsi="Arial" w:cs="Arial"/>
          <w:sz w:val="20"/>
          <w:szCs w:val="18"/>
        </w:rPr>
        <w:t xml:space="preserve">At Coca-Cola (US: Beverages) LPP supported a shareholder proposal calling for a report on </w:t>
      </w:r>
      <w:r w:rsidRPr="004D663B">
        <w:rPr>
          <w:rFonts w:ascii="Arial" w:hAnsi="Arial" w:cs="Arial"/>
          <w:sz w:val="20"/>
          <w:szCs w:val="18"/>
        </w:rPr>
        <w:t xml:space="preserve">the </w:t>
      </w:r>
      <w:r>
        <w:rPr>
          <w:rFonts w:ascii="Arial" w:hAnsi="Arial" w:cs="Arial"/>
          <w:sz w:val="20"/>
          <w:szCs w:val="18"/>
        </w:rPr>
        <w:t>“</w:t>
      </w:r>
      <w:r w:rsidRPr="004D663B">
        <w:rPr>
          <w:rFonts w:ascii="Arial" w:hAnsi="Arial" w:cs="Arial"/>
          <w:sz w:val="20"/>
          <w:szCs w:val="18"/>
        </w:rPr>
        <w:t>Health Impacts and Risks of Sugar in the Company's Products</w:t>
      </w:r>
      <w:r>
        <w:rPr>
          <w:rFonts w:ascii="Arial" w:hAnsi="Arial" w:cs="Arial"/>
          <w:sz w:val="20"/>
          <w:szCs w:val="18"/>
        </w:rPr>
        <w:t>” which received less than 5</w:t>
      </w:r>
      <w:r>
        <w:rPr>
          <w:rFonts w:ascii="Arial" w:hAnsi="Arial" w:cs="Arial"/>
          <w:sz w:val="20"/>
          <w:szCs w:val="18"/>
        </w:rPr>
        <w:t>% support and at PepsiCo LPPI supported a proposal calling for a report on pesticide management which received 10% support.</w:t>
      </w:r>
    </w:p>
    <w:p w:rsidR="004D663B" w:rsidRPr="00F82FE7" w:rsidRDefault="009766EF" w:rsidP="00FB590B">
      <w:pPr>
        <w:spacing w:after="0" w:line="240" w:lineRule="auto"/>
        <w:rPr>
          <w:rFonts w:ascii="Arial" w:hAnsi="Arial" w:cs="Arial"/>
          <w:sz w:val="20"/>
          <w:szCs w:val="18"/>
        </w:rPr>
      </w:pPr>
    </w:p>
    <w:p w:rsidR="007A0870" w:rsidRPr="00FB590B" w:rsidRDefault="009766EF" w:rsidP="007A0870">
      <w:pPr>
        <w:autoSpaceDE w:val="0"/>
        <w:autoSpaceDN w:val="0"/>
        <w:adjustRightInd w:val="0"/>
        <w:spacing w:after="0"/>
        <w:rPr>
          <w:rFonts w:ascii="Arial" w:hAnsi="Arial" w:cs="Arial"/>
          <w:bCs/>
          <w:sz w:val="20"/>
          <w:szCs w:val="20"/>
        </w:rPr>
      </w:pPr>
      <w:r>
        <w:rPr>
          <w:rFonts w:ascii="Arial" w:hAnsi="Arial" w:cs="Arial"/>
          <w:bCs/>
          <w:sz w:val="20"/>
          <w:szCs w:val="20"/>
        </w:rPr>
        <w:t xml:space="preserve">Full details of the positions LPPI took on proposals voted at the Exxon Mobil AGM are reported elsewhere within the report, featured as part of an update on collaborative engagement connected with the investor initiative Climate Action 100+. </w:t>
      </w:r>
    </w:p>
    <w:p w:rsidR="007A0870" w:rsidRDefault="009766EF" w:rsidP="00FB590B">
      <w:pPr>
        <w:pStyle w:val="treb"/>
        <w:numPr>
          <w:ilvl w:val="0"/>
          <w:numId w:val="0"/>
        </w:numPr>
        <w:spacing w:after="0"/>
        <w:rPr>
          <w:rFonts w:ascii="Arial" w:hAnsi="Arial"/>
          <w:b w:val="0"/>
          <w:sz w:val="20"/>
          <w:szCs w:val="20"/>
        </w:rPr>
      </w:pPr>
    </w:p>
    <w:p w:rsidR="00177D2D" w:rsidRPr="004614CC" w:rsidRDefault="009766EF" w:rsidP="00DE0A23">
      <w:pPr>
        <w:pStyle w:val="treb"/>
        <w:numPr>
          <w:ilvl w:val="0"/>
          <w:numId w:val="0"/>
        </w:numPr>
        <w:spacing w:after="0"/>
        <w:rPr>
          <w:rFonts w:ascii="Arial" w:hAnsi="Arial"/>
          <w:b w:val="0"/>
          <w:sz w:val="20"/>
          <w:szCs w:val="20"/>
        </w:rPr>
      </w:pPr>
      <w:r w:rsidRPr="004614CC">
        <w:rPr>
          <w:rFonts w:ascii="Arial" w:hAnsi="Arial"/>
          <w:b w:val="0"/>
          <w:sz w:val="20"/>
          <w:szCs w:val="20"/>
        </w:rPr>
        <w:t xml:space="preserve">Members can view details of shareholder voting for all meetings via the LPP website where quarterly reports for the GEF are made publicly available. </w:t>
      </w:r>
    </w:p>
    <w:p w:rsidR="00B7162D" w:rsidRPr="004614CC" w:rsidRDefault="009766EF" w:rsidP="00177D2D">
      <w:pPr>
        <w:spacing w:after="0"/>
        <w:rPr>
          <w:rFonts w:ascii="Arial" w:hAnsi="Arial" w:cs="Arial"/>
          <w:snapToGrid w:val="0"/>
          <w:color w:val="0070C0"/>
          <w:sz w:val="20"/>
          <w:szCs w:val="20"/>
        </w:rPr>
      </w:pPr>
      <w:hyperlink r:id="rId13" w:history="1">
        <w:r w:rsidRPr="004614CC">
          <w:rPr>
            <w:rFonts w:ascii="Arial" w:hAnsi="Arial" w:cs="Arial"/>
            <w:snapToGrid w:val="0"/>
            <w:color w:val="0070C0"/>
            <w:sz w:val="20"/>
            <w:szCs w:val="20"/>
          </w:rPr>
          <w:t>https://www.loca</w:t>
        </w:r>
        <w:r w:rsidRPr="004614CC">
          <w:rPr>
            <w:rFonts w:ascii="Arial" w:hAnsi="Arial" w:cs="Arial"/>
            <w:snapToGrid w:val="0"/>
            <w:color w:val="0070C0"/>
            <w:sz w:val="20"/>
            <w:szCs w:val="20"/>
          </w:rPr>
          <w:t>lpensionspartnership.org.uk/what-we-do/investment-management</w:t>
        </w:r>
      </w:hyperlink>
    </w:p>
    <w:p w:rsidR="00177D2D" w:rsidRPr="004614CC" w:rsidRDefault="009766EF" w:rsidP="003B4083">
      <w:pPr>
        <w:pStyle w:val="treb"/>
        <w:numPr>
          <w:ilvl w:val="0"/>
          <w:numId w:val="0"/>
        </w:numPr>
        <w:spacing w:after="0"/>
        <w:rPr>
          <w:rFonts w:ascii="Arial" w:hAnsi="Arial"/>
          <w:color w:val="54BBAB" w:themeColor="text2"/>
          <w:sz w:val="20"/>
          <w:szCs w:val="20"/>
        </w:rPr>
      </w:pPr>
    </w:p>
    <w:p w:rsidR="00197BA3" w:rsidRPr="004614CC" w:rsidRDefault="009766EF" w:rsidP="00C857CD">
      <w:pPr>
        <w:pStyle w:val="treb"/>
        <w:numPr>
          <w:ilvl w:val="0"/>
          <w:numId w:val="2"/>
        </w:numPr>
        <w:spacing w:after="0"/>
        <w:ind w:left="0" w:firstLine="0"/>
        <w:rPr>
          <w:rFonts w:ascii="Arial" w:hAnsi="Arial"/>
          <w:color w:val="54BBAB" w:themeColor="text2"/>
          <w:sz w:val="20"/>
          <w:szCs w:val="20"/>
        </w:rPr>
      </w:pPr>
      <w:r w:rsidRPr="004614CC">
        <w:rPr>
          <w:rFonts w:ascii="Arial" w:hAnsi="Arial"/>
          <w:color w:val="54BBAB" w:themeColor="text2"/>
          <w:sz w:val="20"/>
          <w:szCs w:val="20"/>
        </w:rPr>
        <w:t>Engagement through Partnerships</w:t>
      </w:r>
    </w:p>
    <w:p w:rsidR="00E9007D" w:rsidRPr="004614CC" w:rsidRDefault="009766EF" w:rsidP="003B4083">
      <w:pPr>
        <w:pStyle w:val="ListParagraph"/>
        <w:autoSpaceDE w:val="0"/>
        <w:autoSpaceDN w:val="0"/>
        <w:adjustRightInd w:val="0"/>
        <w:spacing w:after="0"/>
        <w:ind w:left="0"/>
        <w:rPr>
          <w:rFonts w:ascii="Arial" w:hAnsi="Arial" w:cs="Arial"/>
          <w:color w:val="183850" w:themeColor="text1"/>
          <w:sz w:val="20"/>
          <w:szCs w:val="20"/>
        </w:rPr>
      </w:pPr>
    </w:p>
    <w:p w:rsidR="00626882" w:rsidRPr="004614CC" w:rsidRDefault="009766EF" w:rsidP="00635E0B">
      <w:pPr>
        <w:autoSpaceDE w:val="0"/>
        <w:autoSpaceDN w:val="0"/>
        <w:adjustRightInd w:val="0"/>
        <w:spacing w:after="0"/>
        <w:rPr>
          <w:rFonts w:ascii="Arial" w:hAnsi="Arial" w:cs="Arial"/>
          <w:bCs/>
          <w:sz w:val="20"/>
          <w:szCs w:val="20"/>
        </w:rPr>
      </w:pPr>
      <w:r w:rsidRPr="004614CC">
        <w:rPr>
          <w:rFonts w:ascii="Arial" w:hAnsi="Arial" w:cs="Arial"/>
          <w:bCs/>
          <w:sz w:val="20"/>
          <w:szCs w:val="20"/>
        </w:rPr>
        <w:t xml:space="preserve">LPPI regularly participates in collaborations which aim to make progress on commonly held issues by co-ordinating the efforts of multiple investors. Key </w:t>
      </w:r>
      <w:r w:rsidRPr="004614CC">
        <w:rPr>
          <w:rFonts w:ascii="Arial" w:hAnsi="Arial" w:cs="Arial"/>
          <w:bCs/>
          <w:sz w:val="20"/>
          <w:szCs w:val="20"/>
        </w:rPr>
        <w:t>partners include the Local Authority Pension Fund Forum (LAPFF) the Pensions and Lifetime Savings Association (PLSA) the Principles of Responsible Investment (PRI) the Institutional Investor Group on Climate Change (IIGCC) the LGPS Cross Pool RI Group, and</w:t>
      </w:r>
      <w:r w:rsidRPr="004614CC">
        <w:rPr>
          <w:rFonts w:ascii="Arial" w:hAnsi="Arial" w:cs="Arial"/>
          <w:bCs/>
          <w:sz w:val="20"/>
          <w:szCs w:val="20"/>
        </w:rPr>
        <w:t xml:space="preserve"> the UK Pension Scheme RI Roundtable.</w:t>
      </w:r>
    </w:p>
    <w:p w:rsidR="008A00BF" w:rsidRPr="004614CC" w:rsidRDefault="009766EF" w:rsidP="00635E0B">
      <w:pPr>
        <w:autoSpaceDE w:val="0"/>
        <w:autoSpaceDN w:val="0"/>
        <w:adjustRightInd w:val="0"/>
        <w:spacing w:after="0"/>
        <w:rPr>
          <w:rFonts w:ascii="Arial" w:hAnsi="Arial" w:cs="Arial"/>
          <w:bCs/>
          <w:color w:val="183850" w:themeColor="text1"/>
          <w:sz w:val="20"/>
          <w:szCs w:val="20"/>
        </w:rPr>
      </w:pPr>
    </w:p>
    <w:p w:rsidR="00705972" w:rsidRPr="004614CC" w:rsidRDefault="009766EF" w:rsidP="00635E0B">
      <w:pPr>
        <w:autoSpaceDE w:val="0"/>
        <w:autoSpaceDN w:val="0"/>
        <w:adjustRightInd w:val="0"/>
        <w:spacing w:after="0"/>
        <w:rPr>
          <w:rFonts w:ascii="Arial" w:hAnsi="Arial" w:cs="Arial"/>
          <w:b/>
          <w:bCs/>
          <w:color w:val="0C1B27" w:themeColor="text1" w:themeShade="80"/>
          <w:sz w:val="20"/>
          <w:szCs w:val="20"/>
        </w:rPr>
      </w:pPr>
      <w:r w:rsidRPr="004614CC">
        <w:rPr>
          <w:rFonts w:ascii="Arial" w:hAnsi="Arial" w:cs="Arial"/>
          <w:b/>
          <w:bCs/>
          <w:color w:val="0C1B27" w:themeColor="text1" w:themeShade="80"/>
          <w:sz w:val="20"/>
          <w:szCs w:val="20"/>
        </w:rPr>
        <w:t>LAPFF</w:t>
      </w:r>
    </w:p>
    <w:p w:rsidR="00B92EEB" w:rsidRDefault="009766EF" w:rsidP="00C857CD">
      <w:pPr>
        <w:spacing w:after="0"/>
        <w:rPr>
          <w:rFonts w:ascii="Arial" w:hAnsi="Arial" w:cs="Arial"/>
          <w:bCs/>
          <w:color w:val="183850" w:themeColor="text1"/>
          <w:sz w:val="20"/>
          <w:szCs w:val="20"/>
        </w:rPr>
      </w:pPr>
    </w:p>
    <w:p w:rsidR="00C857CD" w:rsidRPr="004614CC" w:rsidRDefault="009766EF" w:rsidP="00C857CD">
      <w:pPr>
        <w:spacing w:after="0"/>
        <w:rPr>
          <w:rFonts w:ascii="Arial" w:hAnsi="Arial" w:cs="Arial"/>
          <w:sz w:val="20"/>
          <w:szCs w:val="20"/>
        </w:rPr>
      </w:pPr>
      <w:r w:rsidRPr="004614CC">
        <w:rPr>
          <w:rFonts w:ascii="Arial" w:hAnsi="Arial" w:cs="Arial"/>
          <w:snapToGrid w:val="0"/>
          <w:color w:val="0C1B27" w:themeColor="text1" w:themeShade="80"/>
          <w:sz w:val="20"/>
          <w:szCs w:val="20"/>
        </w:rPr>
        <w:t>LAPFF has long been LCPF's preferred engagement partner. The Fund is a long-standing member of the Forum and the Head of Fund and Chair of the Pension Fund Committee both currently sit on the LAPFF Executive.</w:t>
      </w:r>
    </w:p>
    <w:p w:rsidR="002D57C7" w:rsidRPr="004614CC" w:rsidRDefault="009766EF" w:rsidP="00177D2D">
      <w:pPr>
        <w:contextualSpacing/>
        <w:rPr>
          <w:rFonts w:ascii="Arial" w:hAnsi="Arial" w:cs="Arial"/>
          <w:sz w:val="20"/>
          <w:szCs w:val="20"/>
        </w:rPr>
      </w:pPr>
    </w:p>
    <w:p w:rsidR="00E07BBF" w:rsidRPr="00AC75E6" w:rsidRDefault="009766EF" w:rsidP="00177D2D">
      <w:pPr>
        <w:contextualSpacing/>
        <w:rPr>
          <w:rFonts w:ascii="Arial" w:hAnsi="Arial" w:cs="Arial"/>
          <w:color w:val="0070C0"/>
          <w:sz w:val="20"/>
          <w:szCs w:val="20"/>
        </w:rPr>
      </w:pPr>
      <w:r w:rsidRPr="004614CC">
        <w:rPr>
          <w:rFonts w:ascii="Arial" w:hAnsi="Arial" w:cs="Arial"/>
          <w:sz w:val="20"/>
          <w:szCs w:val="20"/>
        </w:rPr>
        <w:t xml:space="preserve">On a quarterly basis LAPFF provide a summary of the engagement activities undertaken on behalf of member funds which is available from the LAPFF website. </w:t>
      </w:r>
      <w:hyperlink r:id="rId14" w:history="1">
        <w:r w:rsidRPr="00AC75E6">
          <w:rPr>
            <w:rFonts w:ascii="Arial" w:hAnsi="Arial" w:cs="Arial"/>
            <w:color w:val="0070C0"/>
            <w:sz w:val="20"/>
            <w:szCs w:val="20"/>
          </w:rPr>
          <w:t>http://www.lapfforum.org/</w:t>
        </w:r>
        <w:r w:rsidRPr="00AC75E6">
          <w:rPr>
            <w:rFonts w:ascii="Arial" w:hAnsi="Arial" w:cs="Arial"/>
            <w:color w:val="0070C0"/>
            <w:sz w:val="20"/>
            <w:szCs w:val="20"/>
          </w:rPr>
          <w:t>publications/qrtly-engagement-reports/</w:t>
        </w:r>
      </w:hyperlink>
    </w:p>
    <w:p w:rsidR="00177D2D" w:rsidRPr="004614CC" w:rsidRDefault="009766EF" w:rsidP="00177D2D">
      <w:pPr>
        <w:contextualSpacing/>
        <w:rPr>
          <w:rFonts w:ascii="Arial" w:hAnsi="Arial" w:cs="Arial"/>
          <w:sz w:val="20"/>
          <w:szCs w:val="20"/>
        </w:rPr>
      </w:pPr>
    </w:p>
    <w:p w:rsidR="00177D2D" w:rsidRDefault="009766EF" w:rsidP="00924DDC">
      <w:pPr>
        <w:contextualSpacing/>
        <w:rPr>
          <w:rFonts w:ascii="Arial" w:hAnsi="Arial" w:cs="Arial"/>
          <w:bCs/>
          <w:color w:val="183850" w:themeColor="text1"/>
          <w:sz w:val="20"/>
          <w:szCs w:val="20"/>
        </w:rPr>
      </w:pPr>
      <w:r w:rsidRPr="004614CC">
        <w:rPr>
          <w:rFonts w:ascii="Arial" w:hAnsi="Arial" w:cs="Arial"/>
          <w:sz w:val="20"/>
          <w:szCs w:val="20"/>
        </w:rPr>
        <w:t>Quantified across thematic topics, engagement by LAPFF in 2019 Q</w:t>
      </w:r>
      <w:r>
        <w:rPr>
          <w:rFonts w:ascii="Arial" w:hAnsi="Arial" w:cs="Arial"/>
          <w:sz w:val="20"/>
          <w:szCs w:val="20"/>
        </w:rPr>
        <w:t>2</w:t>
      </w:r>
      <w:r w:rsidRPr="004614CC">
        <w:rPr>
          <w:rFonts w:ascii="Arial" w:hAnsi="Arial" w:cs="Arial"/>
          <w:sz w:val="20"/>
          <w:szCs w:val="20"/>
        </w:rPr>
        <w:t xml:space="preserve"> was as follows</w:t>
      </w:r>
      <w:r w:rsidRPr="004614CC">
        <w:rPr>
          <w:rFonts w:ascii="Arial" w:hAnsi="Arial" w:cs="Arial"/>
          <w:bCs/>
          <w:color w:val="183850" w:themeColor="text1"/>
          <w:sz w:val="20"/>
          <w:szCs w:val="20"/>
        </w:rPr>
        <w:t xml:space="preserve">: </w:t>
      </w:r>
    </w:p>
    <w:p w:rsidR="0088418B" w:rsidRDefault="009766EF" w:rsidP="00924DDC">
      <w:pPr>
        <w:contextualSpacing/>
        <w:rPr>
          <w:rFonts w:ascii="Arial" w:hAnsi="Arial" w:cs="Arial"/>
          <w:bCs/>
          <w:color w:val="183850" w:themeColor="text1"/>
          <w:sz w:val="20"/>
          <w:szCs w:val="20"/>
        </w:rPr>
      </w:pPr>
    </w:p>
    <w:p w:rsidR="0088418B" w:rsidRPr="004614CC" w:rsidRDefault="009766EF" w:rsidP="00924DDC">
      <w:pPr>
        <w:contextualSpacing/>
        <w:rPr>
          <w:rFonts w:ascii="Arial" w:hAnsi="Arial" w:cs="Arial"/>
          <w:bCs/>
          <w:color w:val="183850" w:themeColor="text1"/>
          <w:sz w:val="20"/>
          <w:szCs w:val="20"/>
        </w:rPr>
      </w:pPr>
      <w:bookmarkStart w:id="0" w:name="_GoBack"/>
      <w:r>
        <w:rPr>
          <w:noProof/>
          <w:lang w:eastAsia="en-GB"/>
        </w:rPr>
        <w:lastRenderedPageBreak/>
        <w:drawing>
          <wp:inline distT="0" distB="0" distL="0" distR="0">
            <wp:extent cx="4911725" cy="255691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628621" name="Chart 1"/>
                    <pic:cNvPicPr>
                      <a:picLocks noChangeAspect="1" noChangeArrowheads="1"/>
                    </pic:cNvPicPr>
                  </pic:nvPicPr>
                  <pic:blipFill>
                    <a:blip r:embed="rId15" r:link="rId16">
                      <a:extLst>
                        <a:ext uri="{28A0092B-C50C-407E-A947-70E740481C1C}">
                          <a14:useLocalDpi xmlns:a14="http://schemas.microsoft.com/office/drawing/2010/main" val="0"/>
                        </a:ext>
                      </a:extLst>
                    </a:blip>
                    <a:stretch>
                      <a:fillRect/>
                    </a:stretch>
                  </pic:blipFill>
                  <pic:spPr bwMode="auto">
                    <a:xfrm>
                      <a:off x="0" y="0"/>
                      <a:ext cx="4926795" cy="2564763"/>
                    </a:xfrm>
                    <a:prstGeom prst="rect">
                      <a:avLst/>
                    </a:prstGeom>
                    <a:noFill/>
                    <a:ln>
                      <a:noFill/>
                    </a:ln>
                  </pic:spPr>
                </pic:pic>
              </a:graphicData>
            </a:graphic>
          </wp:inline>
        </w:drawing>
      </w:r>
      <w:bookmarkEnd w:id="0"/>
    </w:p>
    <w:p w:rsidR="00177D2D" w:rsidRPr="004614CC" w:rsidRDefault="009766EF" w:rsidP="00635E0B">
      <w:pPr>
        <w:autoSpaceDE w:val="0"/>
        <w:autoSpaceDN w:val="0"/>
        <w:adjustRightInd w:val="0"/>
        <w:spacing w:after="0"/>
        <w:rPr>
          <w:rFonts w:ascii="Arial" w:hAnsi="Arial" w:cs="Arial"/>
          <w:bCs/>
          <w:color w:val="183850" w:themeColor="text1"/>
          <w:sz w:val="20"/>
          <w:szCs w:val="20"/>
        </w:rPr>
      </w:pPr>
    </w:p>
    <w:p w:rsidR="000744AB" w:rsidRPr="00AC75E6" w:rsidRDefault="009766EF" w:rsidP="000744AB">
      <w:pPr>
        <w:autoSpaceDE w:val="0"/>
        <w:autoSpaceDN w:val="0"/>
        <w:adjustRightInd w:val="0"/>
        <w:spacing w:after="0"/>
        <w:rPr>
          <w:rFonts w:ascii="Arial" w:hAnsi="Arial" w:cs="Arial"/>
          <w:bCs/>
          <w:sz w:val="20"/>
          <w:szCs w:val="20"/>
        </w:rPr>
      </w:pPr>
      <w:r>
        <w:rPr>
          <w:rFonts w:ascii="Arial" w:hAnsi="Arial" w:cs="Arial"/>
          <w:sz w:val="20"/>
          <w:szCs w:val="20"/>
        </w:rPr>
        <w:t>Of</w:t>
      </w:r>
      <w:r w:rsidRPr="004614CC">
        <w:rPr>
          <w:rFonts w:ascii="Arial" w:hAnsi="Arial" w:cs="Arial"/>
          <w:sz w:val="20"/>
          <w:szCs w:val="20"/>
        </w:rPr>
        <w:t xml:space="preserve"> </w:t>
      </w:r>
      <w:r>
        <w:rPr>
          <w:rFonts w:ascii="Arial" w:hAnsi="Arial" w:cs="Arial"/>
          <w:sz w:val="20"/>
          <w:szCs w:val="20"/>
        </w:rPr>
        <w:t>6</w:t>
      </w:r>
      <w:r w:rsidRPr="004614CC">
        <w:rPr>
          <w:rFonts w:ascii="Arial" w:hAnsi="Arial" w:cs="Arial"/>
          <w:sz w:val="20"/>
          <w:szCs w:val="20"/>
        </w:rPr>
        <w:t>2 companies engaged with by LAPFF in Q</w:t>
      </w:r>
      <w:r>
        <w:rPr>
          <w:rFonts w:ascii="Arial" w:hAnsi="Arial" w:cs="Arial"/>
          <w:sz w:val="20"/>
          <w:szCs w:val="20"/>
        </w:rPr>
        <w:t xml:space="preserve">2, </w:t>
      </w:r>
      <w:r w:rsidRPr="00AC75E6">
        <w:rPr>
          <w:rFonts w:ascii="Arial" w:hAnsi="Arial" w:cs="Arial"/>
          <w:bCs/>
          <w:sz w:val="20"/>
          <w:szCs w:val="20"/>
        </w:rPr>
        <w:t xml:space="preserve">12 companies (highlighted </w:t>
      </w:r>
      <w:r>
        <w:rPr>
          <w:rFonts w:ascii="Arial" w:hAnsi="Arial" w:cs="Arial"/>
          <w:bCs/>
          <w:sz w:val="20"/>
          <w:szCs w:val="20"/>
        </w:rPr>
        <w:t xml:space="preserve">below </w:t>
      </w:r>
      <w:r w:rsidRPr="00AC75E6">
        <w:rPr>
          <w:rFonts w:ascii="Arial" w:hAnsi="Arial" w:cs="Arial"/>
          <w:bCs/>
          <w:sz w:val="20"/>
          <w:szCs w:val="20"/>
        </w:rPr>
        <w:t>in blue) are held within the LPPI Global Equities</w:t>
      </w:r>
      <w:r w:rsidRPr="00AC75E6">
        <w:rPr>
          <w:rFonts w:ascii="Arial" w:hAnsi="Arial" w:cs="Arial"/>
          <w:bCs/>
          <w:sz w:val="20"/>
          <w:szCs w:val="20"/>
        </w:rPr>
        <w:t xml:space="preserve"> Fund in which LCPF owns units.</w:t>
      </w:r>
    </w:p>
    <w:p w:rsidR="00543785" w:rsidRPr="004614CC" w:rsidRDefault="009766EF" w:rsidP="000A2D9D">
      <w:pPr>
        <w:autoSpaceDE w:val="0"/>
        <w:autoSpaceDN w:val="0"/>
        <w:adjustRightInd w:val="0"/>
        <w:spacing w:after="0" w:line="240" w:lineRule="auto"/>
        <w:rPr>
          <w:rFonts w:ascii="Arial" w:hAnsi="Arial" w:cs="Arial"/>
          <w:sz w:val="20"/>
          <w:szCs w:val="20"/>
        </w:rPr>
      </w:pPr>
    </w:p>
    <w:p w:rsidR="00C857CD" w:rsidRPr="004614CC" w:rsidRDefault="009766EF" w:rsidP="00011376">
      <w:pPr>
        <w:autoSpaceDE w:val="0"/>
        <w:autoSpaceDN w:val="0"/>
        <w:adjustRightInd w:val="0"/>
        <w:spacing w:after="0"/>
        <w:rPr>
          <w:rFonts w:ascii="Arial" w:hAnsi="Arial" w:cs="Arial"/>
          <w:bCs/>
          <w:color w:val="183850" w:themeColor="text1"/>
          <w:sz w:val="20"/>
          <w:szCs w:val="20"/>
        </w:rPr>
      </w:pPr>
      <w:r w:rsidRPr="00543785">
        <w:rPr>
          <w:noProof/>
          <w:lang w:eastAsia="en-GB"/>
        </w:rPr>
        <w:drawing>
          <wp:inline distT="0" distB="0" distL="0" distR="0">
            <wp:extent cx="4912249" cy="4110521"/>
            <wp:effectExtent l="0" t="0" r="3175" b="4445"/>
            <wp:docPr id="1868384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524825" name=""/>
                    <pic:cNvPicPr/>
                  </pic:nvPicPr>
                  <pic:blipFill>
                    <a:blip r:embed="rId17"/>
                    <a:stretch>
                      <a:fillRect/>
                    </a:stretch>
                  </pic:blipFill>
                  <pic:spPr>
                    <a:xfrm>
                      <a:off x="0" y="0"/>
                      <a:ext cx="4941118" cy="4134678"/>
                    </a:xfrm>
                    <a:prstGeom prst="rect">
                      <a:avLst/>
                    </a:prstGeom>
                  </pic:spPr>
                </pic:pic>
              </a:graphicData>
            </a:graphic>
          </wp:inline>
        </w:drawing>
      </w:r>
    </w:p>
    <w:p w:rsidR="00C857CD" w:rsidRDefault="009766EF" w:rsidP="00011376">
      <w:pPr>
        <w:autoSpaceDE w:val="0"/>
        <w:autoSpaceDN w:val="0"/>
        <w:adjustRightInd w:val="0"/>
        <w:spacing w:after="0"/>
        <w:rPr>
          <w:rFonts w:ascii="Verdana" w:hAnsi="Verdana" w:cs="Arial"/>
          <w:bCs/>
          <w:color w:val="183850" w:themeColor="text1"/>
          <w:sz w:val="20"/>
          <w:szCs w:val="20"/>
        </w:rPr>
      </w:pPr>
    </w:p>
    <w:p w:rsidR="000744AB" w:rsidRDefault="009766EF" w:rsidP="000744AB">
      <w:pPr>
        <w:autoSpaceDE w:val="0"/>
        <w:autoSpaceDN w:val="0"/>
        <w:adjustRightInd w:val="0"/>
        <w:spacing w:after="0" w:line="240" w:lineRule="auto"/>
        <w:rPr>
          <w:rFonts w:ascii="Arial" w:hAnsi="Arial" w:cs="Arial"/>
          <w:sz w:val="20"/>
          <w:szCs w:val="20"/>
        </w:rPr>
      </w:pPr>
      <w:r>
        <w:rPr>
          <w:rFonts w:ascii="Arial" w:hAnsi="Arial" w:cs="Arial"/>
          <w:sz w:val="20"/>
          <w:szCs w:val="20"/>
        </w:rPr>
        <w:t>An overview of activity undertaken and outcomes to date (by company) is provided below.</w:t>
      </w:r>
    </w:p>
    <w:p w:rsidR="009B02BB" w:rsidRDefault="009766EF" w:rsidP="000744AB">
      <w:pPr>
        <w:autoSpaceDE w:val="0"/>
        <w:autoSpaceDN w:val="0"/>
        <w:adjustRightInd w:val="0"/>
        <w:spacing w:after="0" w:line="240" w:lineRule="auto"/>
        <w:rPr>
          <w:rFonts w:ascii="Arial" w:hAnsi="Arial" w:cs="Arial"/>
          <w:sz w:val="20"/>
          <w:szCs w:val="20"/>
        </w:rPr>
      </w:pPr>
    </w:p>
    <w:p w:rsidR="009B02BB" w:rsidRDefault="009766EF" w:rsidP="000744AB">
      <w:pPr>
        <w:autoSpaceDE w:val="0"/>
        <w:autoSpaceDN w:val="0"/>
        <w:adjustRightInd w:val="0"/>
        <w:spacing w:after="0" w:line="240" w:lineRule="auto"/>
        <w:rPr>
          <w:rFonts w:ascii="Arial" w:hAnsi="Arial" w:cs="Arial"/>
          <w:sz w:val="20"/>
          <w:szCs w:val="20"/>
        </w:rPr>
      </w:pPr>
      <w:r>
        <w:rPr>
          <w:noProof/>
          <w:lang w:eastAsia="en-GB"/>
        </w:rPr>
        <w:lastRenderedPageBreak/>
        <w:drawing>
          <wp:inline distT="0" distB="0" distL="0" distR="0">
            <wp:extent cx="360045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307036" name=""/>
                    <pic:cNvPicPr/>
                  </pic:nvPicPr>
                  <pic:blipFill>
                    <a:blip r:embed="rId18"/>
                    <a:stretch>
                      <a:fillRect/>
                    </a:stretch>
                  </pic:blipFill>
                  <pic:spPr>
                    <a:xfrm>
                      <a:off x="0" y="0"/>
                      <a:ext cx="3600450" cy="1514475"/>
                    </a:xfrm>
                    <a:prstGeom prst="rect">
                      <a:avLst/>
                    </a:prstGeom>
                  </pic:spPr>
                </pic:pic>
              </a:graphicData>
            </a:graphic>
          </wp:inline>
        </w:drawing>
      </w:r>
    </w:p>
    <w:p w:rsidR="000F38F1" w:rsidRDefault="009766EF" w:rsidP="000744AB">
      <w:pPr>
        <w:autoSpaceDE w:val="0"/>
        <w:autoSpaceDN w:val="0"/>
        <w:adjustRightInd w:val="0"/>
        <w:spacing w:after="0" w:line="240" w:lineRule="auto"/>
        <w:rPr>
          <w:rFonts w:ascii="Arial" w:hAnsi="Arial" w:cs="Arial"/>
          <w:sz w:val="20"/>
          <w:szCs w:val="20"/>
        </w:rPr>
      </w:pPr>
    </w:p>
    <w:p w:rsidR="000F38F1" w:rsidRDefault="009766EF" w:rsidP="000744AB">
      <w:pPr>
        <w:autoSpaceDE w:val="0"/>
        <w:autoSpaceDN w:val="0"/>
        <w:adjustRightInd w:val="0"/>
        <w:spacing w:after="0" w:line="240" w:lineRule="auto"/>
        <w:rPr>
          <w:rFonts w:ascii="Arial" w:hAnsi="Arial" w:cs="Arial"/>
          <w:sz w:val="20"/>
          <w:szCs w:val="20"/>
        </w:rPr>
      </w:pPr>
    </w:p>
    <w:p w:rsidR="000F38F1" w:rsidRDefault="009766EF" w:rsidP="000744AB">
      <w:pPr>
        <w:autoSpaceDE w:val="0"/>
        <w:autoSpaceDN w:val="0"/>
        <w:adjustRightInd w:val="0"/>
        <w:spacing w:after="0" w:line="240" w:lineRule="auto"/>
        <w:rPr>
          <w:rFonts w:ascii="Arial" w:hAnsi="Arial" w:cs="Arial"/>
          <w:sz w:val="20"/>
          <w:szCs w:val="20"/>
        </w:rPr>
      </w:pPr>
      <w:r w:rsidRPr="000F38F1">
        <w:rPr>
          <w:noProof/>
          <w:lang w:eastAsia="en-GB"/>
        </w:rPr>
        <w:drawing>
          <wp:inline distT="0" distB="0" distL="0" distR="0">
            <wp:extent cx="5731510" cy="42583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045406" name=""/>
                    <pic:cNvPicPr/>
                  </pic:nvPicPr>
                  <pic:blipFill>
                    <a:blip r:embed="rId19"/>
                    <a:stretch>
                      <a:fillRect/>
                    </a:stretch>
                  </pic:blipFill>
                  <pic:spPr>
                    <a:xfrm>
                      <a:off x="0" y="0"/>
                      <a:ext cx="5731510" cy="4258310"/>
                    </a:xfrm>
                    <a:prstGeom prst="rect">
                      <a:avLst/>
                    </a:prstGeom>
                  </pic:spPr>
                </pic:pic>
              </a:graphicData>
            </a:graphic>
          </wp:inline>
        </w:drawing>
      </w:r>
    </w:p>
    <w:p w:rsidR="00733089" w:rsidRDefault="009766EF" w:rsidP="00543785">
      <w:pPr>
        <w:autoSpaceDE w:val="0"/>
        <w:autoSpaceDN w:val="0"/>
        <w:adjustRightInd w:val="0"/>
        <w:spacing w:after="0"/>
        <w:rPr>
          <w:rFonts w:ascii="Arial" w:hAnsi="Arial" w:cs="Arial"/>
          <w:bCs/>
          <w:sz w:val="20"/>
          <w:szCs w:val="20"/>
        </w:rPr>
      </w:pPr>
    </w:p>
    <w:p w:rsidR="000744AB" w:rsidRDefault="009766EF" w:rsidP="00543785">
      <w:pPr>
        <w:autoSpaceDE w:val="0"/>
        <w:autoSpaceDN w:val="0"/>
        <w:adjustRightInd w:val="0"/>
        <w:spacing w:after="0"/>
        <w:rPr>
          <w:rFonts w:ascii="Arial" w:hAnsi="Arial" w:cs="Arial"/>
          <w:bCs/>
          <w:sz w:val="20"/>
          <w:szCs w:val="20"/>
        </w:rPr>
      </w:pPr>
      <w:r>
        <w:rPr>
          <w:rFonts w:ascii="Arial" w:hAnsi="Arial" w:cs="Arial"/>
          <w:bCs/>
          <w:sz w:val="20"/>
          <w:szCs w:val="20"/>
        </w:rPr>
        <w:t xml:space="preserve">The predominant theme in Q2 was climate change which reflected a range of activities, most notably attendance at the AGM of </w:t>
      </w:r>
      <w:r>
        <w:rPr>
          <w:rFonts w:ascii="Arial" w:hAnsi="Arial" w:cs="Arial"/>
          <w:bCs/>
          <w:sz w:val="20"/>
          <w:szCs w:val="20"/>
        </w:rPr>
        <w:t xml:space="preserve">steel company </w:t>
      </w:r>
      <w:proofErr w:type="spellStart"/>
      <w:r>
        <w:rPr>
          <w:rFonts w:ascii="Arial" w:hAnsi="Arial" w:cs="Arial"/>
          <w:bCs/>
          <w:sz w:val="20"/>
          <w:szCs w:val="20"/>
        </w:rPr>
        <w:t>Arcelormittal</w:t>
      </w:r>
      <w:proofErr w:type="spellEnd"/>
      <w:r>
        <w:rPr>
          <w:rFonts w:ascii="Arial" w:hAnsi="Arial" w:cs="Arial"/>
          <w:bCs/>
          <w:sz w:val="20"/>
          <w:szCs w:val="20"/>
        </w:rPr>
        <w:t xml:space="preserve"> (in Luxembourg) to urge the company to continue positive progress in planning for reduced emissions intensity and encourage the CEO to participate in the Energy Transition Commission which is focussed on</w:t>
      </w:r>
      <w:r w:rsidRPr="00052E46">
        <w:rPr>
          <w:rFonts w:ascii="Arial" w:hAnsi="Arial" w:cs="Arial"/>
          <w:bCs/>
          <w:sz w:val="20"/>
          <w:szCs w:val="20"/>
        </w:rPr>
        <w:t xml:space="preserve"> accelerating the change towards low-carbon energy systems that enable robust economic development and limit the rise in global temperature to well below 2 degrees Celsius.</w:t>
      </w:r>
    </w:p>
    <w:p w:rsidR="00C857CD" w:rsidRPr="00AC75E6" w:rsidRDefault="009766EF" w:rsidP="00AC75E6">
      <w:pPr>
        <w:autoSpaceDE w:val="0"/>
        <w:autoSpaceDN w:val="0"/>
        <w:adjustRightInd w:val="0"/>
        <w:spacing w:after="0"/>
        <w:rPr>
          <w:rFonts w:ascii="Arial" w:hAnsi="Arial" w:cs="Arial"/>
          <w:bCs/>
          <w:sz w:val="20"/>
          <w:szCs w:val="20"/>
        </w:rPr>
      </w:pPr>
    </w:p>
    <w:p w:rsidR="00DE0A23" w:rsidRPr="00AC75E6" w:rsidRDefault="009766EF" w:rsidP="00AC75E6">
      <w:pPr>
        <w:autoSpaceDE w:val="0"/>
        <w:autoSpaceDN w:val="0"/>
        <w:adjustRightInd w:val="0"/>
        <w:spacing w:after="0"/>
        <w:rPr>
          <w:rFonts w:ascii="Arial" w:hAnsi="Arial" w:cs="Arial"/>
          <w:bCs/>
          <w:sz w:val="20"/>
          <w:szCs w:val="20"/>
        </w:rPr>
      </w:pPr>
      <w:r w:rsidRPr="00AC75E6">
        <w:rPr>
          <w:rFonts w:ascii="Arial" w:hAnsi="Arial" w:cs="Arial"/>
          <w:bCs/>
          <w:sz w:val="20"/>
          <w:szCs w:val="20"/>
        </w:rPr>
        <w:t>As part of ongoing engagement efforts, LPPI seeks appropriate opportunities to col</w:t>
      </w:r>
      <w:r w:rsidRPr="00AC75E6">
        <w:rPr>
          <w:rFonts w:ascii="Arial" w:hAnsi="Arial" w:cs="Arial"/>
          <w:bCs/>
          <w:sz w:val="20"/>
          <w:szCs w:val="20"/>
        </w:rPr>
        <w:t>laborate and regularly communicates with other parties including policy makers, advisory bodies, regulators, service providers and external asset managers as well as investee companies. The following matters are examples of collaborative engagement from Q2</w:t>
      </w:r>
      <w:r w:rsidRPr="00AC75E6">
        <w:rPr>
          <w:rFonts w:ascii="Arial" w:hAnsi="Arial" w:cs="Arial"/>
          <w:bCs/>
          <w:sz w:val="20"/>
          <w:szCs w:val="20"/>
        </w:rPr>
        <w:t>.</w:t>
      </w:r>
    </w:p>
    <w:p w:rsidR="00543785" w:rsidRDefault="009766EF" w:rsidP="00DE0A23">
      <w:pPr>
        <w:spacing w:after="0"/>
        <w:rPr>
          <w:rFonts w:ascii="Arial" w:hAnsi="Arial" w:cs="Arial"/>
          <w:snapToGrid w:val="0"/>
          <w:color w:val="0C1B27" w:themeColor="text1" w:themeShade="80"/>
          <w:sz w:val="20"/>
          <w:szCs w:val="20"/>
        </w:rPr>
      </w:pPr>
    </w:p>
    <w:p w:rsidR="00F0188F" w:rsidRPr="004614CC" w:rsidRDefault="009766EF" w:rsidP="00F0188F">
      <w:pPr>
        <w:rPr>
          <w:rFonts w:ascii="Arial" w:hAnsi="Arial" w:cs="Arial"/>
          <w:b/>
          <w:bCs/>
          <w:color w:val="183850" w:themeColor="text1"/>
          <w:sz w:val="20"/>
          <w:szCs w:val="20"/>
        </w:rPr>
      </w:pPr>
      <w:r w:rsidRPr="004614CC">
        <w:rPr>
          <w:rFonts w:ascii="Arial" w:hAnsi="Arial" w:cs="Arial"/>
          <w:b/>
          <w:bCs/>
          <w:color w:val="183850" w:themeColor="text1"/>
          <w:sz w:val="20"/>
          <w:szCs w:val="20"/>
        </w:rPr>
        <w:t xml:space="preserve">Climate Action 100+ </w:t>
      </w:r>
      <w:r>
        <w:rPr>
          <w:rFonts w:ascii="Arial" w:hAnsi="Arial" w:cs="Arial"/>
          <w:b/>
          <w:bCs/>
          <w:color w:val="183850" w:themeColor="text1"/>
          <w:sz w:val="20"/>
          <w:szCs w:val="20"/>
        </w:rPr>
        <w:t xml:space="preserve">- Further </w:t>
      </w:r>
      <w:r w:rsidRPr="004614CC">
        <w:rPr>
          <w:rFonts w:ascii="Arial" w:hAnsi="Arial" w:cs="Arial"/>
          <w:b/>
          <w:bCs/>
          <w:color w:val="183850" w:themeColor="text1"/>
          <w:sz w:val="20"/>
          <w:szCs w:val="20"/>
        </w:rPr>
        <w:t>Update</w:t>
      </w:r>
      <w:r>
        <w:rPr>
          <w:rFonts w:ascii="Arial" w:hAnsi="Arial" w:cs="Arial"/>
          <w:b/>
          <w:bCs/>
          <w:color w:val="183850" w:themeColor="text1"/>
          <w:sz w:val="20"/>
          <w:szCs w:val="20"/>
        </w:rPr>
        <w:t xml:space="preserve"> on Exxon Mobil </w:t>
      </w:r>
    </w:p>
    <w:p w:rsidR="00C810C0" w:rsidRPr="00AC75E6" w:rsidRDefault="009766EF" w:rsidP="00AC75E6">
      <w:pPr>
        <w:autoSpaceDE w:val="0"/>
        <w:autoSpaceDN w:val="0"/>
        <w:adjustRightInd w:val="0"/>
        <w:spacing w:after="0"/>
        <w:rPr>
          <w:rFonts w:ascii="Arial" w:hAnsi="Arial" w:cs="Arial"/>
          <w:bCs/>
          <w:sz w:val="20"/>
          <w:szCs w:val="20"/>
        </w:rPr>
      </w:pPr>
      <w:r w:rsidRPr="00AC75E6">
        <w:rPr>
          <w:rFonts w:ascii="Arial" w:hAnsi="Arial" w:cs="Arial"/>
          <w:bCs/>
          <w:sz w:val="20"/>
          <w:szCs w:val="20"/>
        </w:rPr>
        <w:t>At its last meeting the Committee was appraised of next steps following Exxon Mobil’s conduct in relation to a shareholder proposal calling for short, medium, and long-term targets for emissions reduc</w:t>
      </w:r>
      <w:r w:rsidRPr="00AC75E6">
        <w:rPr>
          <w:rFonts w:ascii="Arial" w:hAnsi="Arial" w:cs="Arial"/>
          <w:bCs/>
          <w:sz w:val="20"/>
          <w:szCs w:val="20"/>
        </w:rPr>
        <w:t xml:space="preserve">tions in line with the Paris Agreement. LPP was one of 30+ investors who co-ordinated to co-file the proposal which was resisted by the company and ultimately did not appear on the ballot. This </w:t>
      </w:r>
      <w:r w:rsidRPr="00AC75E6">
        <w:rPr>
          <w:rFonts w:ascii="Arial" w:hAnsi="Arial" w:cs="Arial"/>
          <w:bCs/>
          <w:sz w:val="20"/>
          <w:szCs w:val="20"/>
        </w:rPr>
        <w:lastRenderedPageBreak/>
        <w:t>triggered an open exchange with CA100+ members around the auth</w:t>
      </w:r>
      <w:r w:rsidRPr="00AC75E6">
        <w:rPr>
          <w:rFonts w:ascii="Arial" w:hAnsi="Arial" w:cs="Arial"/>
          <w:bCs/>
          <w:sz w:val="20"/>
          <w:szCs w:val="20"/>
        </w:rPr>
        <w:t>enticity of the company’s commitment to engaging with shareholders on climate change concerns.</w:t>
      </w:r>
    </w:p>
    <w:p w:rsidR="005A3CC9" w:rsidRPr="00AC75E6" w:rsidRDefault="009766EF" w:rsidP="00AC75E6">
      <w:pPr>
        <w:autoSpaceDE w:val="0"/>
        <w:autoSpaceDN w:val="0"/>
        <w:adjustRightInd w:val="0"/>
        <w:spacing w:after="0"/>
        <w:rPr>
          <w:rFonts w:ascii="Arial" w:hAnsi="Arial" w:cs="Arial"/>
          <w:bCs/>
          <w:sz w:val="20"/>
          <w:szCs w:val="20"/>
        </w:rPr>
      </w:pPr>
    </w:p>
    <w:p w:rsidR="00166247" w:rsidRPr="00AC75E6" w:rsidRDefault="009766EF" w:rsidP="00AC75E6">
      <w:pPr>
        <w:autoSpaceDE w:val="0"/>
        <w:autoSpaceDN w:val="0"/>
        <w:adjustRightInd w:val="0"/>
        <w:spacing w:after="0"/>
        <w:rPr>
          <w:rFonts w:ascii="Arial" w:hAnsi="Arial" w:cs="Arial"/>
          <w:bCs/>
          <w:sz w:val="20"/>
          <w:szCs w:val="20"/>
        </w:rPr>
      </w:pPr>
      <w:r w:rsidRPr="00AC75E6">
        <w:rPr>
          <w:rFonts w:ascii="Arial" w:hAnsi="Arial" w:cs="Arial"/>
          <w:bCs/>
          <w:sz w:val="20"/>
          <w:szCs w:val="20"/>
        </w:rPr>
        <w:t xml:space="preserve">The Exxon AGM held on 29 May 2019 was attended by a CA100+ representative who introduced and recommended shareholders give support to items 4 and 6. This was a </w:t>
      </w:r>
      <w:r w:rsidRPr="00AC75E6">
        <w:rPr>
          <w:rFonts w:ascii="Arial" w:hAnsi="Arial" w:cs="Arial"/>
          <w:bCs/>
          <w:sz w:val="20"/>
          <w:szCs w:val="20"/>
        </w:rPr>
        <w:t xml:space="preserve">clear and very public call for Exxon to emulate other oil and gas majors in committing to intensive, meaningful and independent director-led engagement with CA100+ on climate change without further delay. </w:t>
      </w:r>
    </w:p>
    <w:p w:rsidR="00DE0A23" w:rsidRPr="00AC75E6" w:rsidRDefault="009766EF" w:rsidP="00AC75E6">
      <w:pPr>
        <w:autoSpaceDE w:val="0"/>
        <w:autoSpaceDN w:val="0"/>
        <w:adjustRightInd w:val="0"/>
        <w:spacing w:after="0"/>
        <w:rPr>
          <w:rFonts w:ascii="Arial" w:hAnsi="Arial" w:cs="Arial"/>
          <w:bCs/>
          <w:sz w:val="20"/>
          <w:szCs w:val="20"/>
        </w:rPr>
      </w:pPr>
      <w:r w:rsidRPr="00AC75E6">
        <w:rPr>
          <w:rFonts w:ascii="Arial" w:hAnsi="Arial" w:cs="Arial"/>
          <w:bCs/>
          <w:sz w:val="20"/>
          <w:szCs w:val="20"/>
        </w:rPr>
        <w:t xml:space="preserve">The full results of shareholder voting at the AGM </w:t>
      </w:r>
      <w:r w:rsidRPr="00AC75E6">
        <w:rPr>
          <w:rFonts w:ascii="Arial" w:hAnsi="Arial" w:cs="Arial"/>
          <w:bCs/>
          <w:sz w:val="20"/>
          <w:szCs w:val="20"/>
        </w:rPr>
        <w:t>are set out below:</w:t>
      </w:r>
    </w:p>
    <w:p w:rsidR="008821F6" w:rsidRDefault="009766EF" w:rsidP="00C857CD">
      <w:pPr>
        <w:spacing w:after="0"/>
        <w:jc w:val="both"/>
      </w:pPr>
      <w:r w:rsidRPr="001849E1">
        <w:rPr>
          <w:noProof/>
          <w:lang w:eastAsia="en-GB"/>
        </w:rPr>
        <w:drawing>
          <wp:inline distT="0" distB="0" distL="0" distR="0">
            <wp:extent cx="5796501" cy="3141644"/>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516982" name=""/>
                    <pic:cNvPicPr/>
                  </pic:nvPicPr>
                  <pic:blipFill>
                    <a:blip r:embed="rId20"/>
                    <a:stretch>
                      <a:fillRect/>
                    </a:stretch>
                  </pic:blipFill>
                  <pic:spPr>
                    <a:xfrm>
                      <a:off x="0" y="0"/>
                      <a:ext cx="5832256" cy="3161023"/>
                    </a:xfrm>
                    <a:prstGeom prst="rect">
                      <a:avLst/>
                    </a:prstGeom>
                  </pic:spPr>
                </pic:pic>
              </a:graphicData>
            </a:graphic>
          </wp:inline>
        </w:drawing>
      </w:r>
    </w:p>
    <w:p w:rsidR="001849E1" w:rsidRPr="001849E1" w:rsidRDefault="009766EF" w:rsidP="00C857CD">
      <w:pPr>
        <w:spacing w:after="0"/>
        <w:jc w:val="both"/>
        <w:rPr>
          <w:rFonts w:ascii="Arial" w:hAnsi="Arial" w:cs="Arial"/>
          <w:sz w:val="20"/>
          <w:szCs w:val="20"/>
        </w:rPr>
      </w:pPr>
    </w:p>
    <w:p w:rsidR="00960605" w:rsidRPr="00AC75E6" w:rsidRDefault="009766EF" w:rsidP="00AC75E6">
      <w:pPr>
        <w:autoSpaceDE w:val="0"/>
        <w:autoSpaceDN w:val="0"/>
        <w:adjustRightInd w:val="0"/>
        <w:spacing w:after="0"/>
        <w:rPr>
          <w:rFonts w:ascii="Arial" w:hAnsi="Arial" w:cs="Arial"/>
          <w:bCs/>
          <w:sz w:val="20"/>
          <w:szCs w:val="20"/>
        </w:rPr>
      </w:pPr>
      <w:r w:rsidRPr="00AC75E6">
        <w:rPr>
          <w:rFonts w:ascii="Arial" w:hAnsi="Arial" w:cs="Arial"/>
          <w:bCs/>
          <w:sz w:val="20"/>
          <w:szCs w:val="20"/>
        </w:rPr>
        <w:t>Elevated levels of dissent were seen, principally in relation to shareholder proposals</w:t>
      </w:r>
      <w:r>
        <w:rPr>
          <w:rFonts w:ascii="Arial" w:hAnsi="Arial" w:cs="Arial"/>
          <w:bCs/>
          <w:sz w:val="20"/>
          <w:szCs w:val="20"/>
        </w:rPr>
        <w:t>, but the majority required to gain acceptance ultimately was not achieved</w:t>
      </w:r>
      <w:r w:rsidRPr="00AC75E6">
        <w:rPr>
          <w:rFonts w:ascii="Arial" w:hAnsi="Arial" w:cs="Arial"/>
          <w:bCs/>
          <w:sz w:val="20"/>
          <w:szCs w:val="20"/>
        </w:rPr>
        <w:t>. The separation of the role of Chair and Chief Executive received 40% sup</w:t>
      </w:r>
      <w:r w:rsidRPr="00AC75E6">
        <w:rPr>
          <w:rFonts w:ascii="Arial" w:hAnsi="Arial" w:cs="Arial"/>
          <w:bCs/>
          <w:sz w:val="20"/>
          <w:szCs w:val="20"/>
        </w:rPr>
        <w:t>port compared to 38% for the same proposal in 2018.  In introducing this item to the AGM, the CA100+ spokesperson pointed to plain good governance and reiterated that “good governance supports good climate strategy and shareholder engagement”.</w:t>
      </w:r>
    </w:p>
    <w:p w:rsidR="00960605" w:rsidRPr="00AC75E6" w:rsidRDefault="009766EF" w:rsidP="00AC75E6">
      <w:pPr>
        <w:autoSpaceDE w:val="0"/>
        <w:autoSpaceDN w:val="0"/>
        <w:adjustRightInd w:val="0"/>
        <w:spacing w:after="0"/>
        <w:rPr>
          <w:rFonts w:ascii="Arial" w:hAnsi="Arial" w:cs="Arial"/>
          <w:bCs/>
          <w:sz w:val="20"/>
          <w:szCs w:val="20"/>
        </w:rPr>
      </w:pPr>
    </w:p>
    <w:p w:rsidR="001849E1" w:rsidRPr="00AC75E6" w:rsidRDefault="009766EF" w:rsidP="00AC75E6">
      <w:pPr>
        <w:autoSpaceDE w:val="0"/>
        <w:autoSpaceDN w:val="0"/>
        <w:adjustRightInd w:val="0"/>
        <w:spacing w:after="0"/>
        <w:rPr>
          <w:rFonts w:ascii="Arial" w:hAnsi="Arial" w:cs="Arial"/>
          <w:bCs/>
          <w:sz w:val="20"/>
          <w:szCs w:val="20"/>
        </w:rPr>
      </w:pPr>
      <w:r w:rsidRPr="00AC75E6">
        <w:rPr>
          <w:rFonts w:ascii="Arial" w:hAnsi="Arial" w:cs="Arial"/>
          <w:bCs/>
          <w:sz w:val="20"/>
          <w:szCs w:val="20"/>
        </w:rPr>
        <w:t xml:space="preserve">A proposal </w:t>
      </w:r>
      <w:r w:rsidRPr="00AC75E6">
        <w:rPr>
          <w:rFonts w:ascii="Arial" w:hAnsi="Arial" w:cs="Arial"/>
          <w:bCs/>
          <w:sz w:val="20"/>
          <w:szCs w:val="20"/>
        </w:rPr>
        <w:t>to require Exxon to provide information on public health risks through operations facing extreme weather events due to climate change-induced storms, flooding, and sea level rise gained 25% support.  A call for the company to disclose information on each d</w:t>
      </w:r>
      <w:r w:rsidRPr="00AC75E6">
        <w:rPr>
          <w:rFonts w:ascii="Arial" w:hAnsi="Arial" w:cs="Arial"/>
          <w:bCs/>
          <w:sz w:val="20"/>
          <w:szCs w:val="20"/>
        </w:rPr>
        <w:t>irector’s gender and race/ethnicity, as well as their skills, experience and attributes most relevant to the company’s business, long-term strategy and risks received 30% support.</w:t>
      </w:r>
    </w:p>
    <w:p w:rsidR="001849E1" w:rsidRPr="00AC75E6" w:rsidRDefault="009766EF" w:rsidP="00AC75E6">
      <w:pPr>
        <w:autoSpaceDE w:val="0"/>
        <w:autoSpaceDN w:val="0"/>
        <w:adjustRightInd w:val="0"/>
        <w:spacing w:after="0"/>
        <w:rPr>
          <w:rFonts w:ascii="Arial" w:hAnsi="Arial" w:cs="Arial"/>
          <w:bCs/>
          <w:sz w:val="20"/>
          <w:szCs w:val="20"/>
        </w:rPr>
      </w:pPr>
    </w:p>
    <w:p w:rsidR="00007A57" w:rsidRPr="00AC75E6" w:rsidRDefault="009766EF" w:rsidP="00AC75E6">
      <w:pPr>
        <w:autoSpaceDE w:val="0"/>
        <w:autoSpaceDN w:val="0"/>
        <w:adjustRightInd w:val="0"/>
        <w:spacing w:after="0"/>
        <w:rPr>
          <w:rFonts w:ascii="Arial" w:hAnsi="Arial" w:cs="Arial"/>
          <w:bCs/>
          <w:sz w:val="20"/>
          <w:szCs w:val="20"/>
        </w:rPr>
      </w:pPr>
      <w:r w:rsidRPr="00AC75E6">
        <w:rPr>
          <w:rFonts w:ascii="Arial" w:hAnsi="Arial" w:cs="Arial"/>
          <w:bCs/>
          <w:sz w:val="20"/>
          <w:szCs w:val="20"/>
        </w:rPr>
        <w:t>LPPI has continued to review and consider the position of Exxon Mobil withi</w:t>
      </w:r>
      <w:r w:rsidRPr="00AC75E6">
        <w:rPr>
          <w:rFonts w:ascii="Arial" w:hAnsi="Arial" w:cs="Arial"/>
          <w:bCs/>
          <w:sz w:val="20"/>
          <w:szCs w:val="20"/>
        </w:rPr>
        <w:t>n the GEF as part of ongoing monitoring. Exxon’s current ranking against the Transition Pathway Initiative (TPI) management quality measure is TPI 2 (building capacity).  LPPI’s 2019 target for extractive companies is TPI 3 (operational integration) and wh</w:t>
      </w:r>
      <w:r w:rsidRPr="00AC75E6">
        <w:rPr>
          <w:rFonts w:ascii="Arial" w:hAnsi="Arial" w:cs="Arial"/>
          <w:bCs/>
          <w:sz w:val="20"/>
          <w:szCs w:val="20"/>
        </w:rPr>
        <w:t xml:space="preserve">ere this is not achieved evidence of meaningful planning for the global transition to low carbon is required. </w:t>
      </w:r>
    </w:p>
    <w:p w:rsidR="00007A57" w:rsidRPr="00AC75E6" w:rsidRDefault="009766EF" w:rsidP="00AC75E6">
      <w:pPr>
        <w:autoSpaceDE w:val="0"/>
        <w:autoSpaceDN w:val="0"/>
        <w:adjustRightInd w:val="0"/>
        <w:spacing w:after="0"/>
        <w:rPr>
          <w:rFonts w:ascii="Arial" w:hAnsi="Arial" w:cs="Arial"/>
          <w:bCs/>
          <w:sz w:val="20"/>
          <w:szCs w:val="20"/>
        </w:rPr>
      </w:pPr>
    </w:p>
    <w:p w:rsidR="001849E1" w:rsidRPr="00AC75E6" w:rsidRDefault="009766EF" w:rsidP="00AC75E6">
      <w:pPr>
        <w:autoSpaceDE w:val="0"/>
        <w:autoSpaceDN w:val="0"/>
        <w:adjustRightInd w:val="0"/>
        <w:spacing w:after="0"/>
        <w:rPr>
          <w:rFonts w:ascii="Arial" w:hAnsi="Arial" w:cs="Arial"/>
          <w:bCs/>
          <w:sz w:val="20"/>
          <w:szCs w:val="20"/>
        </w:rPr>
      </w:pPr>
      <w:r w:rsidRPr="00AC75E6">
        <w:rPr>
          <w:rFonts w:ascii="Arial" w:hAnsi="Arial" w:cs="Arial"/>
          <w:bCs/>
          <w:sz w:val="20"/>
          <w:szCs w:val="20"/>
        </w:rPr>
        <w:t>Exxon meet all requirements for TPI 3 other than forward targets for emissions reduction. The company have emphasised other measures which contr</w:t>
      </w:r>
      <w:r w:rsidRPr="00AC75E6">
        <w:rPr>
          <w:rFonts w:ascii="Arial" w:hAnsi="Arial" w:cs="Arial"/>
          <w:bCs/>
          <w:sz w:val="20"/>
          <w:szCs w:val="20"/>
        </w:rPr>
        <w:t xml:space="preserve">ibute to global climate change goals including </w:t>
      </w:r>
    </w:p>
    <w:p w:rsidR="00800ADD" w:rsidRPr="00800ADD" w:rsidRDefault="009766EF" w:rsidP="00800ADD">
      <w:pPr>
        <w:pStyle w:val="ListParagraph"/>
        <w:numPr>
          <w:ilvl w:val="0"/>
          <w:numId w:val="17"/>
        </w:numPr>
        <w:spacing w:after="0"/>
        <w:ind w:left="426" w:hanging="436"/>
        <w:jc w:val="both"/>
        <w:rPr>
          <w:rFonts w:ascii="Arial" w:hAnsi="Arial" w:cs="Arial"/>
          <w:sz w:val="20"/>
          <w:szCs w:val="20"/>
        </w:rPr>
      </w:pPr>
      <w:r>
        <w:rPr>
          <w:rFonts w:ascii="Arial" w:hAnsi="Arial" w:cs="Arial"/>
          <w:sz w:val="20"/>
          <w:szCs w:val="20"/>
        </w:rPr>
        <w:t>a</w:t>
      </w:r>
      <w:r w:rsidRPr="00800ADD">
        <w:rPr>
          <w:rFonts w:ascii="Arial" w:hAnsi="Arial" w:cs="Arial"/>
          <w:sz w:val="20"/>
          <w:szCs w:val="20"/>
        </w:rPr>
        <w:t xml:space="preserve">nnouncing methane gas reduction targets and targets for </w:t>
      </w:r>
      <w:r>
        <w:rPr>
          <w:rFonts w:ascii="Arial" w:hAnsi="Arial" w:cs="Arial"/>
          <w:sz w:val="20"/>
          <w:szCs w:val="20"/>
        </w:rPr>
        <w:t xml:space="preserve">a </w:t>
      </w:r>
      <w:r w:rsidRPr="00800ADD">
        <w:rPr>
          <w:rFonts w:ascii="Arial" w:hAnsi="Arial" w:cs="Arial"/>
          <w:sz w:val="20"/>
          <w:szCs w:val="20"/>
        </w:rPr>
        <w:t>reduction in flaring</w:t>
      </w:r>
    </w:p>
    <w:p w:rsidR="00800ADD" w:rsidRPr="00800ADD" w:rsidRDefault="009766EF" w:rsidP="00800ADD">
      <w:pPr>
        <w:pStyle w:val="ListParagraph"/>
        <w:numPr>
          <w:ilvl w:val="0"/>
          <w:numId w:val="17"/>
        </w:numPr>
        <w:spacing w:after="0"/>
        <w:ind w:left="426" w:hanging="436"/>
        <w:jc w:val="both"/>
        <w:rPr>
          <w:rFonts w:ascii="Arial" w:hAnsi="Arial" w:cs="Arial"/>
          <w:sz w:val="20"/>
          <w:szCs w:val="20"/>
        </w:rPr>
      </w:pPr>
      <w:r>
        <w:rPr>
          <w:rFonts w:ascii="Arial" w:hAnsi="Arial" w:cs="Arial"/>
          <w:sz w:val="20"/>
          <w:szCs w:val="20"/>
        </w:rPr>
        <w:t>j</w:t>
      </w:r>
      <w:r w:rsidRPr="00800ADD">
        <w:rPr>
          <w:rFonts w:ascii="Arial" w:hAnsi="Arial" w:cs="Arial"/>
          <w:sz w:val="20"/>
          <w:szCs w:val="20"/>
        </w:rPr>
        <w:t xml:space="preserve">oining the Oil &amp; Gas Climate Initiative in late 2018 (alongside higher rated TPI Peers: BP, Shell and Total) </w:t>
      </w:r>
    </w:p>
    <w:p w:rsidR="00800ADD" w:rsidRPr="00800ADD" w:rsidRDefault="009766EF" w:rsidP="00800ADD">
      <w:pPr>
        <w:pStyle w:val="ListParagraph"/>
        <w:numPr>
          <w:ilvl w:val="0"/>
          <w:numId w:val="17"/>
        </w:numPr>
        <w:spacing w:after="0"/>
        <w:ind w:left="426" w:hanging="436"/>
        <w:jc w:val="both"/>
        <w:rPr>
          <w:rFonts w:ascii="Arial" w:hAnsi="Arial" w:cs="Arial"/>
          <w:sz w:val="20"/>
          <w:szCs w:val="20"/>
        </w:rPr>
      </w:pPr>
      <w:proofErr w:type="gramStart"/>
      <w:r>
        <w:rPr>
          <w:rFonts w:ascii="Arial" w:hAnsi="Arial" w:cs="Arial"/>
          <w:sz w:val="20"/>
          <w:szCs w:val="20"/>
        </w:rPr>
        <w:t>a</w:t>
      </w:r>
      <w:proofErr w:type="gramEnd"/>
      <w:r w:rsidRPr="00800ADD">
        <w:rPr>
          <w:rFonts w:ascii="Arial" w:hAnsi="Arial" w:cs="Arial"/>
          <w:sz w:val="20"/>
          <w:szCs w:val="20"/>
        </w:rPr>
        <w:t xml:space="preserve"> commitment to s</w:t>
      </w:r>
      <w:r w:rsidRPr="00800ADD">
        <w:rPr>
          <w:rFonts w:ascii="Arial" w:hAnsi="Arial" w:cs="Arial"/>
          <w:sz w:val="20"/>
          <w:szCs w:val="20"/>
        </w:rPr>
        <w:t>pending $5bn annually on environmental projects</w:t>
      </w:r>
      <w:r>
        <w:rPr>
          <w:rFonts w:ascii="Arial" w:hAnsi="Arial" w:cs="Arial"/>
          <w:sz w:val="20"/>
          <w:szCs w:val="20"/>
        </w:rPr>
        <w:t>.</w:t>
      </w:r>
    </w:p>
    <w:p w:rsidR="00007A57" w:rsidRDefault="009766EF" w:rsidP="004D4970">
      <w:pPr>
        <w:spacing w:after="0"/>
        <w:jc w:val="both"/>
        <w:rPr>
          <w:color w:val="0070C0"/>
        </w:rPr>
      </w:pPr>
    </w:p>
    <w:p w:rsidR="00800ADD" w:rsidRPr="004D4970" w:rsidRDefault="009766EF" w:rsidP="004D4970">
      <w:pPr>
        <w:spacing w:after="0"/>
        <w:jc w:val="both"/>
        <w:rPr>
          <w:rFonts w:ascii="Arial" w:hAnsi="Arial" w:cs="Arial"/>
          <w:sz w:val="20"/>
          <w:szCs w:val="20"/>
        </w:rPr>
      </w:pPr>
      <w:r w:rsidRPr="004D4970">
        <w:rPr>
          <w:rFonts w:ascii="Arial" w:hAnsi="Arial" w:cs="Arial"/>
          <w:sz w:val="20"/>
          <w:szCs w:val="20"/>
        </w:rPr>
        <w:t xml:space="preserve">However, </w:t>
      </w:r>
      <w:r>
        <w:rPr>
          <w:rFonts w:ascii="Arial" w:hAnsi="Arial" w:cs="Arial"/>
          <w:sz w:val="20"/>
          <w:szCs w:val="20"/>
        </w:rPr>
        <w:t xml:space="preserve">Exxon’s </w:t>
      </w:r>
      <w:r w:rsidRPr="004D4970">
        <w:rPr>
          <w:rFonts w:ascii="Arial" w:hAnsi="Arial" w:cs="Arial"/>
          <w:sz w:val="20"/>
          <w:szCs w:val="20"/>
        </w:rPr>
        <w:t xml:space="preserve">resistance to setting and publishing emissions reduction targets </w:t>
      </w:r>
      <w:r>
        <w:rPr>
          <w:rFonts w:ascii="Arial" w:hAnsi="Arial" w:cs="Arial"/>
          <w:sz w:val="20"/>
          <w:szCs w:val="20"/>
        </w:rPr>
        <w:t xml:space="preserve">and delay/relative </w:t>
      </w:r>
      <w:r w:rsidRPr="004D4970">
        <w:rPr>
          <w:rFonts w:ascii="Arial" w:hAnsi="Arial" w:cs="Arial"/>
          <w:sz w:val="20"/>
          <w:szCs w:val="20"/>
        </w:rPr>
        <w:t xml:space="preserve">reluctance </w:t>
      </w:r>
      <w:r>
        <w:rPr>
          <w:rFonts w:ascii="Arial" w:hAnsi="Arial" w:cs="Arial"/>
          <w:sz w:val="20"/>
          <w:szCs w:val="20"/>
        </w:rPr>
        <w:t>to support</w:t>
      </w:r>
      <w:r w:rsidRPr="004D4970">
        <w:rPr>
          <w:rFonts w:ascii="Arial" w:hAnsi="Arial" w:cs="Arial"/>
          <w:sz w:val="20"/>
          <w:szCs w:val="20"/>
        </w:rPr>
        <w:t xml:space="preserve"> authentic</w:t>
      </w:r>
      <w:r>
        <w:rPr>
          <w:rFonts w:ascii="Arial" w:hAnsi="Arial" w:cs="Arial"/>
          <w:sz w:val="20"/>
          <w:szCs w:val="20"/>
        </w:rPr>
        <w:t xml:space="preserve"> engagement</w:t>
      </w:r>
      <w:r w:rsidRPr="004D4970">
        <w:rPr>
          <w:rFonts w:ascii="Arial" w:hAnsi="Arial" w:cs="Arial"/>
          <w:sz w:val="20"/>
          <w:szCs w:val="20"/>
        </w:rPr>
        <w:t xml:space="preserve"> with CA100+ </w:t>
      </w:r>
      <w:r>
        <w:rPr>
          <w:rFonts w:ascii="Arial" w:hAnsi="Arial" w:cs="Arial"/>
          <w:sz w:val="20"/>
          <w:szCs w:val="20"/>
        </w:rPr>
        <w:t xml:space="preserve">have also informed LPPI’s detailed </w:t>
      </w:r>
      <w:r w:rsidRPr="004D4970">
        <w:rPr>
          <w:rFonts w:ascii="Arial" w:hAnsi="Arial" w:cs="Arial"/>
          <w:sz w:val="20"/>
          <w:szCs w:val="20"/>
        </w:rPr>
        <w:lastRenderedPageBreak/>
        <w:t>discussion</w:t>
      </w:r>
      <w:r>
        <w:rPr>
          <w:rFonts w:ascii="Arial" w:hAnsi="Arial" w:cs="Arial"/>
          <w:sz w:val="20"/>
          <w:szCs w:val="20"/>
        </w:rPr>
        <w:t>s</w:t>
      </w:r>
      <w:r w:rsidRPr="004D4970">
        <w:rPr>
          <w:rFonts w:ascii="Arial" w:hAnsi="Arial" w:cs="Arial"/>
          <w:sz w:val="20"/>
          <w:szCs w:val="20"/>
        </w:rPr>
        <w:t xml:space="preserve"> with the delegate manager holding Exxon </w:t>
      </w:r>
      <w:r>
        <w:rPr>
          <w:rFonts w:ascii="Arial" w:hAnsi="Arial" w:cs="Arial"/>
          <w:sz w:val="20"/>
          <w:szCs w:val="20"/>
        </w:rPr>
        <w:t xml:space="preserve">stock. Consideration has been given to the long-term alignment of the company’s business strategy and its stance on climate change </w:t>
      </w:r>
      <w:r w:rsidRPr="004D4970">
        <w:rPr>
          <w:rFonts w:ascii="Arial" w:hAnsi="Arial" w:cs="Arial"/>
          <w:sz w:val="20"/>
          <w:szCs w:val="20"/>
        </w:rPr>
        <w:t xml:space="preserve">with </w:t>
      </w:r>
      <w:r>
        <w:rPr>
          <w:rFonts w:ascii="Arial" w:hAnsi="Arial" w:cs="Arial"/>
          <w:sz w:val="20"/>
          <w:szCs w:val="20"/>
        </w:rPr>
        <w:t>LPP’s</w:t>
      </w:r>
      <w:r w:rsidRPr="004D4970">
        <w:rPr>
          <w:rFonts w:ascii="Arial" w:hAnsi="Arial" w:cs="Arial"/>
          <w:sz w:val="20"/>
          <w:szCs w:val="20"/>
        </w:rPr>
        <w:t xml:space="preserve"> policy aims and the intent of the Paris Agreement</w:t>
      </w:r>
      <w:r>
        <w:rPr>
          <w:rFonts w:ascii="Arial" w:hAnsi="Arial" w:cs="Arial"/>
          <w:sz w:val="20"/>
          <w:szCs w:val="20"/>
        </w:rPr>
        <w:t>. Within this context it</w:t>
      </w:r>
      <w:r>
        <w:rPr>
          <w:rFonts w:ascii="Arial" w:hAnsi="Arial" w:cs="Arial"/>
          <w:sz w:val="20"/>
          <w:szCs w:val="20"/>
        </w:rPr>
        <w:t xml:space="preserve"> was concluded that t</w:t>
      </w:r>
      <w:r w:rsidRPr="004D4970">
        <w:rPr>
          <w:rFonts w:ascii="Arial" w:hAnsi="Arial" w:cs="Arial"/>
          <w:sz w:val="20"/>
          <w:szCs w:val="20"/>
        </w:rPr>
        <w:t>he GEF</w:t>
      </w:r>
      <w:r>
        <w:rPr>
          <w:rFonts w:ascii="Arial" w:hAnsi="Arial" w:cs="Arial"/>
          <w:sz w:val="20"/>
          <w:szCs w:val="20"/>
        </w:rPr>
        <w:t>’</w:t>
      </w:r>
      <w:r w:rsidRPr="004D4970">
        <w:rPr>
          <w:rFonts w:ascii="Arial" w:hAnsi="Arial" w:cs="Arial"/>
          <w:sz w:val="20"/>
          <w:szCs w:val="20"/>
        </w:rPr>
        <w:t xml:space="preserve">s holding </w:t>
      </w:r>
      <w:r>
        <w:rPr>
          <w:rFonts w:ascii="Arial" w:hAnsi="Arial" w:cs="Arial"/>
          <w:sz w:val="20"/>
          <w:szCs w:val="20"/>
        </w:rPr>
        <w:t xml:space="preserve">in </w:t>
      </w:r>
      <w:r w:rsidRPr="004D4970">
        <w:rPr>
          <w:rFonts w:ascii="Arial" w:hAnsi="Arial" w:cs="Arial"/>
          <w:sz w:val="20"/>
          <w:szCs w:val="20"/>
        </w:rPr>
        <w:t xml:space="preserve">Exxon Mobil </w:t>
      </w:r>
      <w:r>
        <w:rPr>
          <w:rFonts w:ascii="Arial" w:hAnsi="Arial" w:cs="Arial"/>
          <w:sz w:val="20"/>
          <w:szCs w:val="20"/>
        </w:rPr>
        <w:t xml:space="preserve">should be liquidated and all shares in Exxon were duly sold </w:t>
      </w:r>
      <w:r w:rsidRPr="004D4970">
        <w:rPr>
          <w:rFonts w:ascii="Arial" w:hAnsi="Arial" w:cs="Arial"/>
          <w:sz w:val="20"/>
          <w:szCs w:val="20"/>
        </w:rPr>
        <w:t>by the end of June 2019.</w:t>
      </w:r>
    </w:p>
    <w:p w:rsidR="008821F6" w:rsidRPr="001849E1" w:rsidRDefault="009766EF" w:rsidP="00C857CD">
      <w:pPr>
        <w:spacing w:after="0"/>
        <w:jc w:val="both"/>
        <w:rPr>
          <w:rFonts w:ascii="Arial" w:hAnsi="Arial" w:cs="Arial"/>
          <w:snapToGrid w:val="0"/>
          <w:color w:val="0C1B27" w:themeColor="text1" w:themeShade="80"/>
          <w:sz w:val="20"/>
          <w:szCs w:val="20"/>
        </w:rPr>
      </w:pPr>
    </w:p>
    <w:p w:rsidR="008C3B5F" w:rsidRDefault="009766EF" w:rsidP="008C3B5F">
      <w:pPr>
        <w:spacing w:after="0"/>
        <w:rPr>
          <w:rFonts w:ascii="Arial" w:hAnsi="Arial" w:cs="Arial"/>
          <w:b/>
          <w:bCs/>
          <w:snapToGrid w:val="0"/>
          <w:sz w:val="20"/>
          <w:szCs w:val="20"/>
        </w:rPr>
      </w:pPr>
      <w:r w:rsidRPr="00032911">
        <w:rPr>
          <w:rFonts w:ascii="Arial" w:hAnsi="Arial" w:cs="Arial"/>
          <w:b/>
          <w:bCs/>
          <w:snapToGrid w:val="0"/>
          <w:sz w:val="20"/>
          <w:szCs w:val="20"/>
        </w:rPr>
        <w:t xml:space="preserve">Investor </w:t>
      </w:r>
      <w:r>
        <w:rPr>
          <w:rFonts w:ascii="Arial" w:hAnsi="Arial" w:cs="Arial"/>
          <w:b/>
          <w:bCs/>
          <w:snapToGrid w:val="0"/>
          <w:sz w:val="20"/>
          <w:szCs w:val="20"/>
        </w:rPr>
        <w:t xml:space="preserve">Statement </w:t>
      </w:r>
      <w:r w:rsidRPr="00032911">
        <w:rPr>
          <w:rFonts w:ascii="Arial" w:hAnsi="Arial" w:cs="Arial"/>
          <w:b/>
          <w:bCs/>
          <w:snapToGrid w:val="0"/>
          <w:sz w:val="20"/>
          <w:szCs w:val="20"/>
        </w:rPr>
        <w:t xml:space="preserve">to G20 </w:t>
      </w:r>
      <w:r>
        <w:rPr>
          <w:rFonts w:ascii="Arial" w:hAnsi="Arial" w:cs="Arial"/>
          <w:b/>
          <w:bCs/>
          <w:snapToGrid w:val="0"/>
          <w:sz w:val="20"/>
          <w:szCs w:val="20"/>
        </w:rPr>
        <w:t>Summit</w:t>
      </w:r>
    </w:p>
    <w:p w:rsidR="000533E0" w:rsidRDefault="009766EF" w:rsidP="00AC75E6">
      <w:pPr>
        <w:autoSpaceDE w:val="0"/>
        <w:autoSpaceDN w:val="0"/>
        <w:adjustRightInd w:val="0"/>
        <w:spacing w:after="0"/>
        <w:rPr>
          <w:rFonts w:ascii="Arial" w:hAnsi="Arial" w:cs="Arial"/>
          <w:bCs/>
          <w:sz w:val="20"/>
          <w:szCs w:val="20"/>
        </w:rPr>
      </w:pPr>
    </w:p>
    <w:p w:rsidR="00032911" w:rsidRPr="00AC75E6" w:rsidRDefault="009766EF" w:rsidP="00AC75E6">
      <w:pPr>
        <w:autoSpaceDE w:val="0"/>
        <w:autoSpaceDN w:val="0"/>
        <w:adjustRightInd w:val="0"/>
        <w:spacing w:after="0"/>
        <w:rPr>
          <w:rFonts w:ascii="Arial" w:hAnsi="Arial" w:cs="Arial"/>
          <w:bCs/>
          <w:sz w:val="20"/>
          <w:szCs w:val="20"/>
        </w:rPr>
      </w:pPr>
      <w:r w:rsidRPr="00AC75E6">
        <w:rPr>
          <w:rFonts w:ascii="Arial" w:hAnsi="Arial" w:cs="Arial"/>
          <w:bCs/>
          <w:sz w:val="20"/>
          <w:szCs w:val="20"/>
        </w:rPr>
        <w:t>Ahead of the G20 Summit in Osaka (Japan) in June 2019, LPP joined 477 investors man</w:t>
      </w:r>
      <w:r w:rsidRPr="00AC75E6">
        <w:rPr>
          <w:rFonts w:ascii="Arial" w:hAnsi="Arial" w:cs="Arial"/>
          <w:bCs/>
          <w:sz w:val="20"/>
          <w:szCs w:val="20"/>
        </w:rPr>
        <w:t>aging over US $34 trillion to sign a statement urging world governments to:</w:t>
      </w:r>
    </w:p>
    <w:p w:rsidR="00032911" w:rsidRPr="00AC75E6" w:rsidRDefault="009766EF" w:rsidP="00AC75E6">
      <w:pPr>
        <w:pStyle w:val="ListParagraph"/>
        <w:numPr>
          <w:ilvl w:val="0"/>
          <w:numId w:val="20"/>
        </w:numPr>
        <w:autoSpaceDE w:val="0"/>
        <w:autoSpaceDN w:val="0"/>
        <w:adjustRightInd w:val="0"/>
        <w:spacing w:after="0"/>
        <w:ind w:left="426" w:hanging="426"/>
        <w:rPr>
          <w:rFonts w:ascii="Arial" w:hAnsi="Arial" w:cs="Arial"/>
          <w:bCs/>
          <w:sz w:val="20"/>
          <w:szCs w:val="20"/>
        </w:rPr>
      </w:pPr>
      <w:r w:rsidRPr="00AC75E6">
        <w:rPr>
          <w:rFonts w:ascii="Arial" w:hAnsi="Arial" w:cs="Arial"/>
          <w:bCs/>
          <w:sz w:val="20"/>
          <w:szCs w:val="20"/>
        </w:rPr>
        <w:t>Achieve the Paris Agreement’s goals</w:t>
      </w:r>
    </w:p>
    <w:p w:rsidR="00032911" w:rsidRPr="00AC75E6" w:rsidRDefault="009766EF" w:rsidP="00AC75E6">
      <w:pPr>
        <w:pStyle w:val="ListParagraph"/>
        <w:numPr>
          <w:ilvl w:val="0"/>
          <w:numId w:val="20"/>
        </w:numPr>
        <w:autoSpaceDE w:val="0"/>
        <w:autoSpaceDN w:val="0"/>
        <w:adjustRightInd w:val="0"/>
        <w:spacing w:after="0"/>
        <w:ind w:left="426" w:hanging="426"/>
        <w:rPr>
          <w:rFonts w:ascii="Arial" w:hAnsi="Arial" w:cs="Arial"/>
          <w:bCs/>
          <w:sz w:val="20"/>
          <w:szCs w:val="20"/>
        </w:rPr>
      </w:pPr>
      <w:r w:rsidRPr="00AC75E6">
        <w:rPr>
          <w:rFonts w:ascii="Arial" w:hAnsi="Arial" w:cs="Arial"/>
          <w:bCs/>
          <w:sz w:val="20"/>
          <w:szCs w:val="20"/>
        </w:rPr>
        <w:t>Accelerate private sector investment into the low carbon transition</w:t>
      </w:r>
    </w:p>
    <w:p w:rsidR="00032911" w:rsidRPr="00AC75E6" w:rsidRDefault="009766EF" w:rsidP="00AC75E6">
      <w:pPr>
        <w:pStyle w:val="ListParagraph"/>
        <w:numPr>
          <w:ilvl w:val="0"/>
          <w:numId w:val="20"/>
        </w:numPr>
        <w:autoSpaceDE w:val="0"/>
        <w:autoSpaceDN w:val="0"/>
        <w:adjustRightInd w:val="0"/>
        <w:spacing w:after="0"/>
        <w:ind w:left="426" w:hanging="426"/>
        <w:rPr>
          <w:rFonts w:ascii="Arial" w:hAnsi="Arial" w:cs="Arial"/>
          <w:bCs/>
          <w:sz w:val="20"/>
          <w:szCs w:val="20"/>
        </w:rPr>
      </w:pPr>
      <w:r w:rsidRPr="00AC75E6">
        <w:rPr>
          <w:rFonts w:ascii="Arial" w:hAnsi="Arial" w:cs="Arial"/>
          <w:bCs/>
          <w:sz w:val="20"/>
          <w:szCs w:val="20"/>
        </w:rPr>
        <w:t>Commit to improve climate-related financial reporting.</w:t>
      </w:r>
    </w:p>
    <w:p w:rsidR="000F30FA" w:rsidRPr="00AC75E6" w:rsidRDefault="009766EF" w:rsidP="00AC75E6">
      <w:pPr>
        <w:autoSpaceDE w:val="0"/>
        <w:autoSpaceDN w:val="0"/>
        <w:adjustRightInd w:val="0"/>
        <w:spacing w:after="0"/>
        <w:rPr>
          <w:rFonts w:ascii="Arial" w:hAnsi="Arial" w:cs="Arial"/>
          <w:bCs/>
          <w:sz w:val="20"/>
          <w:szCs w:val="20"/>
        </w:rPr>
      </w:pPr>
    </w:p>
    <w:p w:rsidR="00032911" w:rsidRPr="00AC75E6" w:rsidRDefault="009766EF" w:rsidP="00AC75E6">
      <w:pPr>
        <w:autoSpaceDE w:val="0"/>
        <w:autoSpaceDN w:val="0"/>
        <w:adjustRightInd w:val="0"/>
        <w:spacing w:after="0"/>
        <w:rPr>
          <w:rFonts w:ascii="Arial" w:hAnsi="Arial" w:cs="Arial"/>
          <w:bCs/>
          <w:sz w:val="20"/>
          <w:szCs w:val="20"/>
        </w:rPr>
      </w:pPr>
      <w:r w:rsidRPr="00AC75E6">
        <w:rPr>
          <w:rFonts w:ascii="Arial" w:hAnsi="Arial" w:cs="Arial"/>
          <w:bCs/>
          <w:sz w:val="20"/>
          <w:szCs w:val="20"/>
        </w:rPr>
        <w:t xml:space="preserve">The statement is an </w:t>
      </w:r>
      <w:r w:rsidRPr="00AC75E6">
        <w:rPr>
          <w:rFonts w:ascii="Arial" w:hAnsi="Arial" w:cs="Arial"/>
          <w:bCs/>
          <w:sz w:val="20"/>
          <w:szCs w:val="20"/>
        </w:rPr>
        <w:t>example of collaborative policy advocacy through which institutional investors are directly urging governments to institute the conditions in which investors will have confidence to shift portfolios towards the low carbon solutions fundamental to achieving</w:t>
      </w:r>
      <w:r w:rsidRPr="00AC75E6">
        <w:rPr>
          <w:rFonts w:ascii="Arial" w:hAnsi="Arial" w:cs="Arial"/>
          <w:bCs/>
          <w:sz w:val="20"/>
          <w:szCs w:val="20"/>
        </w:rPr>
        <w:t xml:space="preserve"> the Paris Agreement targets. The full text of the investor statement is available via the following link.</w:t>
      </w:r>
    </w:p>
    <w:p w:rsidR="00032911" w:rsidRPr="00AC75E6" w:rsidRDefault="009766EF" w:rsidP="00CA0189">
      <w:pPr>
        <w:spacing w:after="0"/>
        <w:rPr>
          <w:rFonts w:ascii="Arial" w:hAnsi="Arial" w:cs="Arial"/>
          <w:color w:val="0070C0"/>
          <w:sz w:val="20"/>
          <w:szCs w:val="20"/>
          <w:u w:val="single"/>
        </w:rPr>
      </w:pPr>
      <w:hyperlink r:id="rId21" w:history="1">
        <w:r w:rsidRPr="00AC75E6">
          <w:rPr>
            <w:rFonts w:ascii="Arial" w:hAnsi="Arial" w:cs="Arial"/>
            <w:color w:val="0070C0"/>
            <w:sz w:val="20"/>
            <w:szCs w:val="20"/>
            <w:u w:val="single"/>
          </w:rPr>
          <w:t>https://theinvestoragenda.org/wp-content/uploads</w:t>
        </w:r>
        <w:r w:rsidRPr="00AC75E6">
          <w:rPr>
            <w:rFonts w:ascii="Arial" w:hAnsi="Arial" w:cs="Arial"/>
            <w:color w:val="0070C0"/>
            <w:sz w:val="20"/>
            <w:szCs w:val="20"/>
            <w:u w:val="single"/>
          </w:rPr>
          <w:t>/2019/07/190704-GISGCC-correction-3.pdf</w:t>
        </w:r>
      </w:hyperlink>
    </w:p>
    <w:p w:rsidR="00032911" w:rsidRDefault="009766EF" w:rsidP="00032911">
      <w:pPr>
        <w:spacing w:after="0"/>
        <w:rPr>
          <w:rFonts w:ascii="Arial" w:hAnsi="Arial" w:cs="Arial"/>
          <w:b/>
          <w:bCs/>
          <w:snapToGrid w:val="0"/>
          <w:color w:val="0C1B27" w:themeColor="text1" w:themeShade="80"/>
          <w:sz w:val="20"/>
          <w:szCs w:val="20"/>
        </w:rPr>
      </w:pPr>
    </w:p>
    <w:p w:rsidR="00032911" w:rsidRPr="00BE5CD8" w:rsidRDefault="009766EF" w:rsidP="00BE5CD8">
      <w:pPr>
        <w:spacing w:after="0"/>
        <w:jc w:val="both"/>
        <w:rPr>
          <w:rFonts w:ascii="Arial" w:hAnsi="Arial" w:cs="Arial"/>
          <w:sz w:val="20"/>
          <w:szCs w:val="20"/>
        </w:rPr>
      </w:pPr>
      <w:r w:rsidRPr="00BE5CD8">
        <w:rPr>
          <w:rFonts w:ascii="Arial" w:hAnsi="Arial" w:cs="Arial"/>
          <w:sz w:val="20"/>
          <w:szCs w:val="20"/>
        </w:rPr>
        <w:t xml:space="preserve">The investor statement was initially launched in June 2018 ahead of the G7 Summit and grew in scope and support ahead of the Global Climate Action Summit in September 2018 and COP24 in Katowice in December 2018. </w:t>
      </w:r>
      <w:r w:rsidRPr="00BE5CD8">
        <w:rPr>
          <w:rFonts w:ascii="Arial" w:hAnsi="Arial" w:cs="Arial"/>
          <w:sz w:val="20"/>
          <w:szCs w:val="20"/>
        </w:rPr>
        <w:t xml:space="preserve"> </w:t>
      </w:r>
    </w:p>
    <w:p w:rsidR="00E67886" w:rsidRDefault="009766EF" w:rsidP="00E67886">
      <w:pPr>
        <w:shd w:val="clear" w:color="auto" w:fill="FFFFFF"/>
        <w:spacing w:after="0" w:line="240" w:lineRule="auto"/>
        <w:rPr>
          <w:rFonts w:ascii="Arial" w:eastAsia="Times New Roman" w:hAnsi="Arial" w:cs="Arial"/>
          <w:color w:val="444444"/>
          <w:lang w:eastAsia="en-GB"/>
        </w:rPr>
      </w:pPr>
    </w:p>
    <w:p w:rsidR="00032911" w:rsidRPr="00D971DE" w:rsidRDefault="009766EF" w:rsidP="00D971DE">
      <w:pPr>
        <w:spacing w:after="0"/>
        <w:rPr>
          <w:rFonts w:ascii="Arial" w:hAnsi="Arial" w:cs="Arial"/>
          <w:b/>
          <w:bCs/>
          <w:snapToGrid w:val="0"/>
          <w:sz w:val="20"/>
          <w:szCs w:val="20"/>
        </w:rPr>
      </w:pPr>
      <w:r w:rsidRPr="00D971DE">
        <w:rPr>
          <w:rFonts w:ascii="Arial" w:hAnsi="Arial" w:cs="Arial"/>
          <w:b/>
          <w:bCs/>
          <w:snapToGrid w:val="0"/>
          <w:sz w:val="20"/>
          <w:szCs w:val="20"/>
        </w:rPr>
        <w:t>PLSA</w:t>
      </w:r>
    </w:p>
    <w:p w:rsidR="00032911" w:rsidRPr="00E67886" w:rsidRDefault="009766EF" w:rsidP="00E67886">
      <w:pPr>
        <w:shd w:val="clear" w:color="auto" w:fill="FFFFFF"/>
        <w:spacing w:after="0" w:line="240" w:lineRule="auto"/>
        <w:rPr>
          <w:rFonts w:ascii="Arial" w:eastAsia="Times New Roman" w:hAnsi="Arial" w:cs="Arial"/>
          <w:color w:val="444444"/>
          <w:lang w:eastAsia="en-GB"/>
        </w:rPr>
      </w:pPr>
    </w:p>
    <w:p w:rsidR="00032911" w:rsidRPr="00AC75E6" w:rsidRDefault="009766EF" w:rsidP="00E67886">
      <w:pPr>
        <w:shd w:val="clear" w:color="auto" w:fill="FFFFFF"/>
        <w:spacing w:after="0" w:line="240" w:lineRule="auto"/>
        <w:rPr>
          <w:rFonts w:ascii="Arial" w:hAnsi="Arial" w:cs="Arial"/>
          <w:snapToGrid w:val="0"/>
          <w:color w:val="0070C0"/>
          <w:sz w:val="20"/>
          <w:szCs w:val="20"/>
        </w:rPr>
      </w:pPr>
      <w:r w:rsidRPr="00476271">
        <w:rPr>
          <w:rFonts w:ascii="Arial" w:hAnsi="Arial" w:cs="Arial"/>
          <w:snapToGrid w:val="0"/>
          <w:color w:val="0C1B27" w:themeColor="text1" w:themeShade="80"/>
          <w:sz w:val="20"/>
          <w:szCs w:val="20"/>
        </w:rPr>
        <w:t>In the period since the Committee last met, the PLSA has published new best practice guidance for Pension Fund Trustees on ESG and Stewardship.</w:t>
      </w:r>
      <w:r w:rsidRPr="00CF7672">
        <w:rPr>
          <w:rFonts w:ascii="Arial" w:hAnsi="Arial" w:cs="Arial"/>
          <w:snapToGrid w:val="0"/>
          <w:color w:val="0C1B27" w:themeColor="text1" w:themeShade="80"/>
          <w:sz w:val="20"/>
          <w:szCs w:val="20"/>
        </w:rPr>
        <w:t xml:space="preserve"> </w:t>
      </w:r>
      <w:hyperlink r:id="rId22" w:history="1">
        <w:r w:rsidRPr="00AC75E6">
          <w:rPr>
            <w:rFonts w:ascii="Arial" w:hAnsi="Arial" w:cs="Arial"/>
            <w:color w:val="0070C0"/>
            <w:sz w:val="20"/>
            <w:szCs w:val="20"/>
            <w:u w:val="single"/>
          </w:rPr>
          <w:t>https://www.plsa.co.uk/Portals/0/Documents/Policy-Documents/2019/ESG-and-Stewardship-A-practical-guide-to-trus</w:t>
        </w:r>
        <w:r w:rsidRPr="00AC75E6">
          <w:rPr>
            <w:rFonts w:ascii="Arial" w:hAnsi="Arial" w:cs="Arial"/>
            <w:color w:val="0070C0"/>
            <w:sz w:val="20"/>
            <w:szCs w:val="20"/>
            <w:u w:val="single"/>
          </w:rPr>
          <w:t>tee-duties-2019-v2.pdf</w:t>
        </w:r>
      </w:hyperlink>
    </w:p>
    <w:p w:rsidR="00032911" w:rsidRDefault="009766EF" w:rsidP="00032911">
      <w:pPr>
        <w:spacing w:after="0"/>
        <w:jc w:val="both"/>
        <w:rPr>
          <w:rFonts w:ascii="Arial" w:hAnsi="Arial" w:cs="Arial"/>
          <w:snapToGrid w:val="0"/>
          <w:color w:val="0C1B27" w:themeColor="text1" w:themeShade="80"/>
          <w:sz w:val="20"/>
          <w:szCs w:val="20"/>
        </w:rPr>
      </w:pPr>
    </w:p>
    <w:p w:rsidR="00032911" w:rsidRPr="00BE5CD8" w:rsidRDefault="009766EF" w:rsidP="00032911">
      <w:pPr>
        <w:spacing w:after="0"/>
        <w:jc w:val="both"/>
        <w:rPr>
          <w:rFonts w:ascii="Arial" w:hAnsi="Arial" w:cs="Arial"/>
          <w:sz w:val="20"/>
          <w:szCs w:val="20"/>
        </w:rPr>
      </w:pPr>
      <w:r w:rsidRPr="00BE5CD8">
        <w:rPr>
          <w:rFonts w:ascii="Arial" w:hAnsi="Arial" w:cs="Arial"/>
          <w:sz w:val="20"/>
          <w:szCs w:val="20"/>
        </w:rPr>
        <w:t>The Guidance offers comprehensive advice in advance of significant new requirement</w:t>
      </w:r>
      <w:r>
        <w:rPr>
          <w:rFonts w:ascii="Arial" w:hAnsi="Arial" w:cs="Arial"/>
          <w:sz w:val="20"/>
          <w:szCs w:val="20"/>
        </w:rPr>
        <w:t>s</w:t>
      </w:r>
      <w:r w:rsidRPr="00BE5CD8">
        <w:rPr>
          <w:rFonts w:ascii="Arial" w:hAnsi="Arial" w:cs="Arial"/>
          <w:sz w:val="20"/>
          <w:szCs w:val="20"/>
        </w:rPr>
        <w:t xml:space="preserve"> (from 1st October 2019) for Defined Benefit and Defined Contribution schemes to provide detailed disclosure on their policy for taking account of</w:t>
      </w:r>
      <w:r w:rsidRPr="00BE5CD8">
        <w:rPr>
          <w:rFonts w:ascii="Arial" w:hAnsi="Arial" w:cs="Arial"/>
          <w:sz w:val="20"/>
          <w:szCs w:val="20"/>
        </w:rPr>
        <w:t xml:space="preserve"> "financially material" considerations, including ESG factors, such as climate change.  Multiple parties contributed to the development of the new guidance including the PLSA’s Stewardship Advisory Group (where LPP is represented). Ensuring user friendly a</w:t>
      </w:r>
      <w:r w:rsidRPr="00BE5CD8">
        <w:rPr>
          <w:rFonts w:ascii="Arial" w:hAnsi="Arial" w:cs="Arial"/>
          <w:sz w:val="20"/>
          <w:szCs w:val="20"/>
        </w:rPr>
        <w:t>nd practical guidance is within the reach of trustees</w:t>
      </w:r>
      <w:r>
        <w:rPr>
          <w:rFonts w:ascii="Arial" w:hAnsi="Arial" w:cs="Arial"/>
          <w:sz w:val="20"/>
          <w:szCs w:val="20"/>
        </w:rPr>
        <w:t xml:space="preserve"> to help </w:t>
      </w:r>
      <w:r w:rsidRPr="00BE5CD8">
        <w:rPr>
          <w:rFonts w:ascii="Arial" w:hAnsi="Arial" w:cs="Arial"/>
          <w:sz w:val="20"/>
          <w:szCs w:val="20"/>
        </w:rPr>
        <w:t xml:space="preserve">bust myths and </w:t>
      </w:r>
      <w:r>
        <w:rPr>
          <w:rFonts w:ascii="Arial" w:hAnsi="Arial" w:cs="Arial"/>
          <w:sz w:val="20"/>
          <w:szCs w:val="20"/>
        </w:rPr>
        <w:t>support</w:t>
      </w:r>
      <w:r w:rsidRPr="00BE5CD8">
        <w:rPr>
          <w:rFonts w:ascii="Arial" w:hAnsi="Arial" w:cs="Arial"/>
          <w:sz w:val="20"/>
          <w:szCs w:val="20"/>
        </w:rPr>
        <w:t xml:space="preserve"> pension funds</w:t>
      </w:r>
      <w:r>
        <w:rPr>
          <w:rFonts w:ascii="Arial" w:hAnsi="Arial" w:cs="Arial"/>
          <w:sz w:val="20"/>
          <w:szCs w:val="20"/>
        </w:rPr>
        <w:t xml:space="preserve"> to</w:t>
      </w:r>
      <w:r w:rsidRPr="00BE5CD8">
        <w:rPr>
          <w:rFonts w:ascii="Arial" w:hAnsi="Arial" w:cs="Arial"/>
          <w:sz w:val="20"/>
          <w:szCs w:val="20"/>
        </w:rPr>
        <w:t xml:space="preserve"> </w:t>
      </w:r>
      <w:r>
        <w:rPr>
          <w:rFonts w:ascii="Arial" w:hAnsi="Arial" w:cs="Arial"/>
          <w:sz w:val="20"/>
          <w:szCs w:val="20"/>
        </w:rPr>
        <w:t>comply with</w:t>
      </w:r>
      <w:r w:rsidRPr="00BE5CD8">
        <w:rPr>
          <w:rFonts w:ascii="Arial" w:hAnsi="Arial" w:cs="Arial"/>
          <w:sz w:val="20"/>
          <w:szCs w:val="20"/>
        </w:rPr>
        <w:t xml:space="preserve"> requirements is critical to both the take up and evolution of RI.</w:t>
      </w:r>
    </w:p>
    <w:p w:rsidR="00032911" w:rsidRPr="00BE5CD8" w:rsidRDefault="009766EF" w:rsidP="00032911">
      <w:pPr>
        <w:spacing w:after="0"/>
        <w:jc w:val="both"/>
        <w:rPr>
          <w:rFonts w:ascii="Arial" w:hAnsi="Arial" w:cs="Arial"/>
          <w:sz w:val="20"/>
          <w:szCs w:val="20"/>
        </w:rPr>
      </w:pPr>
    </w:p>
    <w:p w:rsidR="00032911" w:rsidRPr="00BE5CD8" w:rsidRDefault="009766EF" w:rsidP="00032911">
      <w:pPr>
        <w:spacing w:after="0"/>
        <w:jc w:val="both"/>
        <w:rPr>
          <w:rFonts w:ascii="Arial" w:hAnsi="Arial" w:cs="Arial"/>
          <w:sz w:val="20"/>
          <w:szCs w:val="20"/>
        </w:rPr>
      </w:pPr>
      <w:r w:rsidRPr="00BE5CD8">
        <w:rPr>
          <w:rFonts w:ascii="Arial" w:hAnsi="Arial" w:cs="Arial"/>
          <w:sz w:val="20"/>
          <w:szCs w:val="20"/>
        </w:rPr>
        <w:t xml:space="preserve">LGPS Funds are not presently subject to the new </w:t>
      </w:r>
      <w:r>
        <w:rPr>
          <w:rFonts w:ascii="Arial" w:hAnsi="Arial" w:cs="Arial"/>
          <w:sz w:val="20"/>
          <w:szCs w:val="20"/>
        </w:rPr>
        <w:t xml:space="preserve">statutory </w:t>
      </w:r>
      <w:r w:rsidRPr="00BE5CD8">
        <w:rPr>
          <w:rFonts w:ascii="Arial" w:hAnsi="Arial" w:cs="Arial"/>
          <w:sz w:val="20"/>
          <w:szCs w:val="20"/>
        </w:rPr>
        <w:t>requirements to p</w:t>
      </w:r>
      <w:r w:rsidRPr="00BE5CD8">
        <w:rPr>
          <w:rFonts w:ascii="Arial" w:hAnsi="Arial" w:cs="Arial"/>
          <w:sz w:val="20"/>
          <w:szCs w:val="20"/>
        </w:rPr>
        <w:t xml:space="preserve">rovide detailed ESG disclosure – these relate to pension funds which publish a Statement of Investment Principles (SIP) - but the extension of equivalent requirements to the LGPS (via Investment Strategy Statements) </w:t>
      </w:r>
      <w:r>
        <w:rPr>
          <w:rFonts w:ascii="Arial" w:hAnsi="Arial" w:cs="Arial"/>
          <w:sz w:val="20"/>
          <w:szCs w:val="20"/>
        </w:rPr>
        <w:t xml:space="preserve">should </w:t>
      </w:r>
      <w:r w:rsidRPr="00BE5CD8">
        <w:rPr>
          <w:rFonts w:ascii="Arial" w:hAnsi="Arial" w:cs="Arial"/>
          <w:sz w:val="20"/>
          <w:szCs w:val="20"/>
        </w:rPr>
        <w:t xml:space="preserve">be considered highly likely and anticipated within short span. </w:t>
      </w:r>
    </w:p>
    <w:p w:rsidR="00DC3091" w:rsidRDefault="009766EF" w:rsidP="00C857CD">
      <w:pPr>
        <w:spacing w:after="0"/>
        <w:jc w:val="both"/>
        <w:rPr>
          <w:rFonts w:ascii="Verdana" w:hAnsi="Verdana" w:cs="Arial"/>
          <w:b/>
          <w:bCs/>
          <w:color w:val="54BBAB" w:themeColor="text2"/>
          <w:sz w:val="20"/>
          <w:szCs w:val="20"/>
        </w:rPr>
      </w:pPr>
    </w:p>
    <w:p w:rsidR="00197BA3" w:rsidRPr="009B02BB" w:rsidRDefault="009766EF" w:rsidP="009B02BB">
      <w:pPr>
        <w:pStyle w:val="ListParagraph"/>
        <w:numPr>
          <w:ilvl w:val="0"/>
          <w:numId w:val="2"/>
        </w:numPr>
        <w:autoSpaceDE w:val="0"/>
        <w:autoSpaceDN w:val="0"/>
        <w:adjustRightInd w:val="0"/>
        <w:spacing w:after="0"/>
        <w:ind w:hanging="720"/>
        <w:rPr>
          <w:rFonts w:ascii="Arial" w:hAnsi="Arial" w:cs="Arial"/>
          <w:b/>
          <w:bCs/>
          <w:color w:val="54BBAB" w:themeColor="text2"/>
          <w:sz w:val="20"/>
          <w:szCs w:val="20"/>
        </w:rPr>
      </w:pPr>
      <w:r w:rsidRPr="009B02BB">
        <w:rPr>
          <w:rFonts w:ascii="Arial" w:hAnsi="Arial" w:cs="Arial"/>
          <w:b/>
          <w:bCs/>
          <w:color w:val="54BBAB" w:themeColor="text2"/>
          <w:sz w:val="20"/>
          <w:szCs w:val="20"/>
        </w:rPr>
        <w:t>Shareholder</w:t>
      </w:r>
      <w:r w:rsidRPr="004614CC">
        <w:rPr>
          <w:rFonts w:ascii="Arial" w:hAnsi="Arial" w:cs="Arial"/>
          <w:b/>
          <w:bCs/>
          <w:color w:val="54BBAB" w:themeColor="text2"/>
          <w:sz w:val="20"/>
          <w:szCs w:val="20"/>
        </w:rPr>
        <w:t xml:space="preserve"> Litigation</w:t>
      </w:r>
    </w:p>
    <w:p w:rsidR="00C857CD" w:rsidRPr="004614CC" w:rsidRDefault="009766EF" w:rsidP="00C857CD">
      <w:pPr>
        <w:spacing w:after="0"/>
        <w:jc w:val="both"/>
        <w:rPr>
          <w:rFonts w:ascii="Arial" w:hAnsi="Arial" w:cs="Arial"/>
          <w:b/>
          <w:bCs/>
          <w:color w:val="54BBAB" w:themeColor="text2"/>
          <w:sz w:val="20"/>
          <w:szCs w:val="20"/>
        </w:rPr>
      </w:pPr>
    </w:p>
    <w:p w:rsidR="00601570" w:rsidRPr="004614CC" w:rsidRDefault="009766EF" w:rsidP="003606C9">
      <w:pPr>
        <w:spacing w:after="0"/>
        <w:rPr>
          <w:rFonts w:ascii="Arial" w:hAnsi="Arial" w:cs="Arial"/>
          <w:snapToGrid w:val="0"/>
          <w:color w:val="0C1B27" w:themeColor="text1" w:themeShade="80"/>
          <w:sz w:val="20"/>
          <w:szCs w:val="20"/>
        </w:rPr>
      </w:pPr>
      <w:r w:rsidRPr="004614CC">
        <w:rPr>
          <w:rFonts w:ascii="Arial" w:hAnsi="Arial" w:cs="Arial"/>
          <w:snapToGrid w:val="0"/>
          <w:color w:val="0C1B27" w:themeColor="text1" w:themeShade="80"/>
          <w:sz w:val="20"/>
          <w:szCs w:val="20"/>
        </w:rPr>
        <w:t>LPPI employ</w:t>
      </w:r>
      <w:r>
        <w:rPr>
          <w:rFonts w:ascii="Arial" w:hAnsi="Arial" w:cs="Arial"/>
          <w:snapToGrid w:val="0"/>
          <w:color w:val="0C1B27" w:themeColor="text1" w:themeShade="80"/>
          <w:sz w:val="20"/>
          <w:szCs w:val="20"/>
        </w:rPr>
        <w:t>s</w:t>
      </w:r>
      <w:r w:rsidRPr="004614CC">
        <w:rPr>
          <w:rFonts w:ascii="Arial" w:hAnsi="Arial" w:cs="Arial"/>
          <w:snapToGrid w:val="0"/>
          <w:color w:val="0C1B27" w:themeColor="text1" w:themeShade="80"/>
          <w:sz w:val="20"/>
          <w:szCs w:val="20"/>
        </w:rPr>
        <w:t xml:space="preserve"> Institutional Protection Services (IPS) as an external provider of litigation monitoring services to ensure shareholder litigation cases affecting securities owned by the GEF are known about, claims are filed in a timely way and progress is monitored and </w:t>
      </w:r>
      <w:r w:rsidRPr="004614CC">
        <w:rPr>
          <w:rFonts w:ascii="Arial" w:hAnsi="Arial" w:cs="Arial"/>
          <w:snapToGrid w:val="0"/>
          <w:color w:val="0C1B27" w:themeColor="text1" w:themeShade="80"/>
          <w:sz w:val="20"/>
          <w:szCs w:val="20"/>
        </w:rPr>
        <w:t>followed up with Claims Administrators.  In addition, IPS monitor cases relating to shares held by LCPF in the period before the Fund pooled its listed equity investments from November 2016.  Litigation can arise quite some time after shares have been sold</w:t>
      </w:r>
      <w:r w:rsidRPr="004614CC">
        <w:rPr>
          <w:rFonts w:ascii="Arial" w:hAnsi="Arial" w:cs="Arial"/>
          <w:snapToGrid w:val="0"/>
          <w:color w:val="0C1B27" w:themeColor="text1" w:themeShade="80"/>
          <w:sz w:val="20"/>
          <w:szCs w:val="20"/>
        </w:rPr>
        <w:t xml:space="preserve"> and monitoring new cases and referring back to historic records to establish rights of ownership is an ongoing task.</w:t>
      </w:r>
    </w:p>
    <w:p w:rsidR="00C857CD" w:rsidRPr="003606C9" w:rsidRDefault="009766EF" w:rsidP="003606C9">
      <w:pPr>
        <w:spacing w:after="0"/>
        <w:rPr>
          <w:rFonts w:ascii="Verdana" w:hAnsi="Verdana"/>
          <w:snapToGrid w:val="0"/>
          <w:color w:val="0C1B27" w:themeColor="text1" w:themeShade="80"/>
          <w:sz w:val="20"/>
          <w:szCs w:val="20"/>
        </w:rPr>
      </w:pPr>
    </w:p>
    <w:p w:rsidR="00EC3178" w:rsidRDefault="009766EF" w:rsidP="003606C9">
      <w:pPr>
        <w:spacing w:after="0"/>
        <w:rPr>
          <w:rFonts w:ascii="Arial" w:hAnsi="Arial" w:cs="Arial"/>
          <w:snapToGrid w:val="0"/>
          <w:color w:val="0C1B27" w:themeColor="text1" w:themeShade="80"/>
          <w:sz w:val="20"/>
          <w:szCs w:val="20"/>
        </w:rPr>
      </w:pPr>
      <w:r w:rsidRPr="004614CC">
        <w:rPr>
          <w:rFonts w:ascii="Arial" w:hAnsi="Arial" w:cs="Arial"/>
          <w:snapToGrid w:val="0"/>
          <w:color w:val="0C1B27" w:themeColor="text1" w:themeShade="80"/>
          <w:sz w:val="20"/>
          <w:szCs w:val="20"/>
        </w:rPr>
        <w:t xml:space="preserve">IPS provide LPPI with monitoring information on a quarterly basis detailing the number of cases investigated.  The monitoring report for Q1 2019 confirms that 4 new potential cases have been </w:t>
      </w:r>
      <w:r w:rsidRPr="004614CC">
        <w:rPr>
          <w:rFonts w:ascii="Arial" w:hAnsi="Arial" w:cs="Arial"/>
          <w:snapToGrid w:val="0"/>
          <w:color w:val="0C1B27" w:themeColor="text1" w:themeShade="80"/>
          <w:sz w:val="20"/>
          <w:szCs w:val="20"/>
        </w:rPr>
        <w:lastRenderedPageBreak/>
        <w:t>identified where the Fund may have an entitlement to join a class</w:t>
      </w:r>
      <w:r w:rsidRPr="004614CC">
        <w:rPr>
          <w:rFonts w:ascii="Arial" w:hAnsi="Arial" w:cs="Arial"/>
          <w:snapToGrid w:val="0"/>
          <w:color w:val="0C1B27" w:themeColor="text1" w:themeShade="80"/>
          <w:sz w:val="20"/>
          <w:szCs w:val="20"/>
        </w:rPr>
        <w:t xml:space="preserve"> action and eligibility is being assessed, there are a further 2 cases where eligibility has been confirmed and a claim will be filed and 7 which have been discounted following further analysis. In Q1 the Fund received a disbursement of monies relating to </w:t>
      </w:r>
      <w:r w:rsidRPr="004614CC">
        <w:rPr>
          <w:rFonts w:ascii="Arial" w:hAnsi="Arial" w:cs="Arial"/>
          <w:snapToGrid w:val="0"/>
          <w:color w:val="0C1B27" w:themeColor="text1" w:themeShade="80"/>
          <w:sz w:val="20"/>
          <w:szCs w:val="20"/>
        </w:rPr>
        <w:t>one filed claim that has reached settlement.</w:t>
      </w:r>
    </w:p>
    <w:p w:rsidR="00E50F74" w:rsidRPr="008103F0" w:rsidRDefault="009766EF" w:rsidP="00C857CD">
      <w:pPr>
        <w:pStyle w:val="Default"/>
        <w:rPr>
          <w:rFonts w:ascii="Verdana" w:hAnsi="Verdana" w:cs="Arial"/>
          <w:b/>
          <w:bCs/>
          <w:color w:val="54BBAB" w:themeColor="text2"/>
          <w:sz w:val="20"/>
          <w:szCs w:val="20"/>
        </w:rPr>
      </w:pPr>
    </w:p>
    <w:p w:rsidR="00197BA3" w:rsidRPr="004614CC" w:rsidRDefault="009766EF" w:rsidP="00C857CD">
      <w:pPr>
        <w:pStyle w:val="ListParagraph"/>
        <w:numPr>
          <w:ilvl w:val="0"/>
          <w:numId w:val="2"/>
        </w:numPr>
        <w:autoSpaceDE w:val="0"/>
        <w:autoSpaceDN w:val="0"/>
        <w:adjustRightInd w:val="0"/>
        <w:spacing w:after="0"/>
        <w:ind w:hanging="720"/>
        <w:rPr>
          <w:rFonts w:ascii="Arial" w:hAnsi="Arial" w:cs="Arial"/>
          <w:b/>
          <w:bCs/>
          <w:color w:val="54BBAB" w:themeColor="text2"/>
          <w:sz w:val="20"/>
          <w:szCs w:val="20"/>
        </w:rPr>
      </w:pPr>
      <w:r w:rsidRPr="004614CC">
        <w:rPr>
          <w:rFonts w:ascii="Arial" w:hAnsi="Arial" w:cs="Arial"/>
          <w:b/>
          <w:bCs/>
          <w:color w:val="54BBAB" w:themeColor="text2"/>
          <w:sz w:val="20"/>
          <w:szCs w:val="20"/>
        </w:rPr>
        <w:t>Active Investing</w:t>
      </w:r>
    </w:p>
    <w:p w:rsidR="00B67A56" w:rsidRPr="004614CC" w:rsidRDefault="009766EF" w:rsidP="00C857CD">
      <w:pPr>
        <w:spacing w:after="0"/>
        <w:jc w:val="both"/>
        <w:rPr>
          <w:rFonts w:ascii="Arial" w:hAnsi="Arial" w:cs="Arial"/>
          <w:bCs/>
          <w:sz w:val="20"/>
          <w:szCs w:val="20"/>
        </w:rPr>
      </w:pPr>
    </w:p>
    <w:p w:rsidR="00AC076D" w:rsidRDefault="009766EF" w:rsidP="003606C9">
      <w:pPr>
        <w:spacing w:after="0"/>
        <w:rPr>
          <w:rFonts w:ascii="Arial" w:hAnsi="Arial" w:cs="Arial"/>
          <w:snapToGrid w:val="0"/>
          <w:color w:val="0C1B27" w:themeColor="text1" w:themeShade="80"/>
          <w:sz w:val="20"/>
          <w:szCs w:val="20"/>
        </w:rPr>
      </w:pPr>
      <w:r w:rsidRPr="004614CC">
        <w:rPr>
          <w:rFonts w:ascii="Arial" w:hAnsi="Arial" w:cs="Arial"/>
          <w:snapToGrid w:val="0"/>
          <w:color w:val="0C1B27" w:themeColor="text1" w:themeShade="80"/>
          <w:sz w:val="20"/>
          <w:szCs w:val="20"/>
        </w:rPr>
        <w:t>The LCPF Responsible Investment Policy describes active investing as the search for sustainable investments which meet LCPF’s requirements for strong returns combined with best practice in ESG</w:t>
      </w:r>
      <w:r w:rsidRPr="004614CC">
        <w:rPr>
          <w:rFonts w:ascii="Arial" w:hAnsi="Arial" w:cs="Arial"/>
          <w:snapToGrid w:val="0"/>
          <w:color w:val="0C1B27" w:themeColor="text1" w:themeShade="80"/>
          <w:sz w:val="20"/>
          <w:szCs w:val="20"/>
        </w:rPr>
        <w:t xml:space="preserve"> and corporate governance.  The Fund has not set allocations for investments within specific sectors or identified impact themes but in general favours investments with positive social outcomes and has expressed an interest in understanding where current i</w:t>
      </w:r>
      <w:r w:rsidRPr="004614CC">
        <w:rPr>
          <w:rFonts w:ascii="Arial" w:hAnsi="Arial" w:cs="Arial"/>
          <w:snapToGrid w:val="0"/>
          <w:color w:val="0C1B27" w:themeColor="text1" w:themeShade="80"/>
          <w:sz w:val="20"/>
          <w:szCs w:val="20"/>
        </w:rPr>
        <w:t>nvestments are delivering social benefits in addition to generating investment returns. Examples of socially positive investments are available from across the asset classes the fund invests in.</w:t>
      </w:r>
    </w:p>
    <w:p w:rsidR="00030086" w:rsidRDefault="009766EF" w:rsidP="003606C9">
      <w:pPr>
        <w:spacing w:after="0"/>
        <w:rPr>
          <w:rFonts w:ascii="Arial" w:hAnsi="Arial" w:cs="Arial"/>
          <w:snapToGrid w:val="0"/>
          <w:color w:val="0C1B27" w:themeColor="text1" w:themeShade="80"/>
          <w:sz w:val="20"/>
          <w:szCs w:val="20"/>
        </w:rPr>
      </w:pPr>
    </w:p>
    <w:p w:rsidR="008C3B5F" w:rsidRPr="00AC75E6" w:rsidRDefault="009766EF" w:rsidP="00AC75E6">
      <w:pPr>
        <w:spacing w:after="0"/>
        <w:rPr>
          <w:rFonts w:ascii="Arial" w:hAnsi="Arial" w:cs="Arial"/>
          <w:snapToGrid w:val="0"/>
          <w:color w:val="0070C0"/>
          <w:sz w:val="20"/>
          <w:szCs w:val="20"/>
        </w:rPr>
      </w:pPr>
      <w:r w:rsidRPr="00BD1ADA">
        <w:rPr>
          <w:rFonts w:ascii="Arial" w:hAnsi="Arial" w:cs="Arial"/>
          <w:snapToGrid w:val="0"/>
          <w:color w:val="0C1B27" w:themeColor="text1" w:themeShade="80"/>
          <w:sz w:val="20"/>
          <w:szCs w:val="20"/>
        </w:rPr>
        <w:t>Within the RI section of its Annual Report for 2018/19 LPP h</w:t>
      </w:r>
      <w:r w:rsidRPr="00BD1ADA">
        <w:rPr>
          <w:rFonts w:ascii="Arial" w:hAnsi="Arial" w:cs="Arial"/>
          <w:snapToGrid w:val="0"/>
          <w:color w:val="0C1B27" w:themeColor="text1" w:themeShade="80"/>
          <w:sz w:val="20"/>
          <w:szCs w:val="20"/>
        </w:rPr>
        <w:t>as included information (page</w:t>
      </w:r>
      <w:r>
        <w:rPr>
          <w:rFonts w:ascii="Arial" w:hAnsi="Arial" w:cs="Arial"/>
          <w:snapToGrid w:val="0"/>
          <w:color w:val="0C1B27" w:themeColor="text1" w:themeShade="80"/>
          <w:sz w:val="20"/>
          <w:szCs w:val="20"/>
        </w:rPr>
        <w:t>s</w:t>
      </w:r>
      <w:r w:rsidRPr="00BD1ADA">
        <w:rPr>
          <w:rFonts w:ascii="Arial" w:hAnsi="Arial" w:cs="Arial"/>
          <w:snapToGrid w:val="0"/>
          <w:color w:val="0C1B27" w:themeColor="text1" w:themeShade="80"/>
          <w:sz w:val="20"/>
          <w:szCs w:val="20"/>
        </w:rPr>
        <w:t xml:space="preserve"> 26-27) on </w:t>
      </w:r>
      <w:r>
        <w:rPr>
          <w:rFonts w:ascii="Arial" w:hAnsi="Arial" w:cs="Arial"/>
          <w:snapToGrid w:val="0"/>
          <w:color w:val="0C1B27" w:themeColor="text1" w:themeShade="80"/>
          <w:sz w:val="20"/>
          <w:szCs w:val="20"/>
        </w:rPr>
        <w:t xml:space="preserve">four </w:t>
      </w:r>
      <w:r w:rsidRPr="00BD1ADA">
        <w:rPr>
          <w:rFonts w:ascii="Arial" w:hAnsi="Arial" w:cs="Arial"/>
          <w:snapToGrid w:val="0"/>
          <w:color w:val="0C1B27" w:themeColor="text1" w:themeShade="80"/>
          <w:sz w:val="20"/>
          <w:szCs w:val="20"/>
        </w:rPr>
        <w:t xml:space="preserve">projects which </w:t>
      </w:r>
      <w:r>
        <w:rPr>
          <w:rFonts w:ascii="Arial" w:hAnsi="Arial" w:cs="Arial"/>
          <w:snapToGrid w:val="0"/>
          <w:color w:val="0C1B27" w:themeColor="text1" w:themeShade="80"/>
          <w:sz w:val="20"/>
          <w:szCs w:val="20"/>
        </w:rPr>
        <w:t xml:space="preserve">are </w:t>
      </w:r>
      <w:r w:rsidRPr="00BD1ADA">
        <w:rPr>
          <w:rFonts w:ascii="Arial" w:hAnsi="Arial" w:cs="Arial"/>
          <w:snapToGrid w:val="0"/>
          <w:color w:val="0C1B27" w:themeColor="text1" w:themeShade="80"/>
          <w:sz w:val="20"/>
          <w:szCs w:val="20"/>
        </w:rPr>
        <w:t>contribut</w:t>
      </w:r>
      <w:r>
        <w:rPr>
          <w:rFonts w:ascii="Arial" w:hAnsi="Arial" w:cs="Arial"/>
          <w:snapToGrid w:val="0"/>
          <w:color w:val="0C1B27" w:themeColor="text1" w:themeShade="80"/>
          <w:sz w:val="20"/>
          <w:szCs w:val="20"/>
        </w:rPr>
        <w:t>ing</w:t>
      </w:r>
      <w:r w:rsidRPr="00BD1ADA">
        <w:rPr>
          <w:rFonts w:ascii="Arial" w:hAnsi="Arial" w:cs="Arial"/>
          <w:snapToGrid w:val="0"/>
          <w:color w:val="0C1B27" w:themeColor="text1" w:themeShade="80"/>
          <w:sz w:val="20"/>
          <w:szCs w:val="20"/>
        </w:rPr>
        <w:t xml:space="preserve"> </w:t>
      </w:r>
      <w:r>
        <w:rPr>
          <w:rFonts w:ascii="Arial" w:hAnsi="Arial" w:cs="Arial"/>
          <w:snapToGrid w:val="0"/>
          <w:color w:val="0C1B27" w:themeColor="text1" w:themeShade="80"/>
          <w:sz w:val="20"/>
          <w:szCs w:val="20"/>
        </w:rPr>
        <w:t xml:space="preserve">wider </w:t>
      </w:r>
      <w:r w:rsidRPr="00BD1ADA">
        <w:rPr>
          <w:rFonts w:ascii="Arial" w:hAnsi="Arial" w:cs="Arial"/>
          <w:snapToGrid w:val="0"/>
          <w:color w:val="0C1B27" w:themeColor="text1" w:themeShade="80"/>
          <w:sz w:val="20"/>
          <w:szCs w:val="20"/>
        </w:rPr>
        <w:t>social benefits in addition to investment return</w:t>
      </w:r>
      <w:r>
        <w:rPr>
          <w:rFonts w:ascii="Arial" w:hAnsi="Arial" w:cs="Arial"/>
          <w:snapToGrid w:val="0"/>
          <w:color w:val="0C1B27" w:themeColor="text1" w:themeShade="80"/>
          <w:sz w:val="20"/>
          <w:szCs w:val="20"/>
        </w:rPr>
        <w:t xml:space="preserve">s - </w:t>
      </w:r>
      <w:r w:rsidRPr="00BD1ADA">
        <w:rPr>
          <w:rFonts w:ascii="Arial" w:hAnsi="Arial" w:cs="Arial"/>
          <w:snapToGrid w:val="0"/>
          <w:color w:val="0C1B27" w:themeColor="text1" w:themeShade="80"/>
          <w:sz w:val="20"/>
          <w:szCs w:val="20"/>
        </w:rPr>
        <w:t xml:space="preserve">Guild Investments, Cape Byron, Forth Ports Group and Advent Life Sciences. </w:t>
      </w:r>
      <w:r>
        <w:rPr>
          <w:rFonts w:ascii="Arial" w:hAnsi="Arial" w:cs="Arial"/>
          <w:snapToGrid w:val="0"/>
          <w:color w:val="0C1B27" w:themeColor="text1" w:themeShade="80"/>
          <w:sz w:val="20"/>
          <w:szCs w:val="20"/>
        </w:rPr>
        <w:t xml:space="preserve">The full Annual Report is available from the LPP website at the following link and provides wider context on LPP’s approach to RI. </w:t>
      </w:r>
      <w:hyperlink r:id="rId23" w:history="1">
        <w:r w:rsidRPr="00AC75E6">
          <w:rPr>
            <w:rStyle w:val="Hyperlink"/>
            <w:rFonts w:ascii="Arial" w:hAnsi="Arial" w:cs="Arial"/>
            <w:color w:val="0070C0"/>
            <w:sz w:val="20"/>
            <w:szCs w:val="20"/>
          </w:rPr>
          <w:t>htt</w:t>
        </w:r>
        <w:r w:rsidRPr="00AC75E6">
          <w:rPr>
            <w:rStyle w:val="Hyperlink"/>
            <w:rFonts w:ascii="Arial" w:hAnsi="Arial" w:cs="Arial"/>
            <w:color w:val="0070C0"/>
            <w:sz w:val="20"/>
            <w:szCs w:val="20"/>
          </w:rPr>
          <w:t>ps://www.localpensionspartnership.org.uk/Files/Files/LPP%20Annual%20Report%202019%20Final%20(DIGITAL).pdf</w:t>
        </w:r>
      </w:hyperlink>
    </w:p>
    <w:p w:rsidR="0034387C" w:rsidRPr="00AC75E6" w:rsidRDefault="009766EF" w:rsidP="00476271">
      <w:pPr>
        <w:shd w:val="clear" w:color="auto" w:fill="FFFFFF"/>
        <w:spacing w:after="0" w:line="240" w:lineRule="auto"/>
        <w:rPr>
          <w:rFonts w:ascii="Arial" w:hAnsi="Arial" w:cs="Arial"/>
          <w:color w:val="0070C0"/>
          <w:sz w:val="20"/>
          <w:szCs w:val="20"/>
          <w:u w:val="single"/>
        </w:rPr>
      </w:pPr>
    </w:p>
    <w:p w:rsidR="005A470D" w:rsidRPr="005A470D" w:rsidRDefault="009766EF" w:rsidP="005A470D">
      <w:pPr>
        <w:spacing w:after="0"/>
        <w:rPr>
          <w:rFonts w:ascii="Arial" w:hAnsi="Arial" w:cs="Arial"/>
          <w:snapToGrid w:val="0"/>
          <w:color w:val="0C1B27" w:themeColor="text1" w:themeShade="80"/>
          <w:sz w:val="20"/>
          <w:szCs w:val="20"/>
        </w:rPr>
      </w:pPr>
      <w:r>
        <w:rPr>
          <w:rFonts w:ascii="Arial" w:hAnsi="Arial" w:cs="Arial"/>
          <w:snapToGrid w:val="0"/>
          <w:color w:val="0C1B27" w:themeColor="text1" w:themeShade="80"/>
          <w:sz w:val="20"/>
          <w:szCs w:val="20"/>
        </w:rPr>
        <w:t>Positive media coverage related to sustainability has been received in relation to an existing investment by GLIL in which the fund is a participa</w:t>
      </w:r>
      <w:r>
        <w:rPr>
          <w:rFonts w:ascii="Arial" w:hAnsi="Arial" w:cs="Arial"/>
          <w:snapToGrid w:val="0"/>
          <w:color w:val="0C1B27" w:themeColor="text1" w:themeShade="80"/>
          <w:sz w:val="20"/>
          <w:szCs w:val="20"/>
        </w:rPr>
        <w:t>ting investor. Iona Capital</w:t>
      </w:r>
      <w:r w:rsidRPr="001E42D6">
        <w:rPr>
          <w:rFonts w:ascii="Arial" w:hAnsi="Arial" w:cs="Arial"/>
          <w:snapToGrid w:val="0"/>
          <w:color w:val="0C1B27" w:themeColor="text1" w:themeShade="80"/>
          <w:sz w:val="20"/>
          <w:szCs w:val="20"/>
        </w:rPr>
        <w:t xml:space="preserve"> </w:t>
      </w:r>
      <w:r>
        <w:rPr>
          <w:rFonts w:ascii="Arial" w:hAnsi="Arial" w:cs="Arial"/>
          <w:snapToGrid w:val="0"/>
          <w:color w:val="0C1B27" w:themeColor="text1" w:themeShade="80"/>
          <w:sz w:val="20"/>
          <w:szCs w:val="20"/>
        </w:rPr>
        <w:t xml:space="preserve">(infrastructure manager) has contracted to purchase waste products from food manufacture which will be used by the </w:t>
      </w:r>
      <w:proofErr w:type="spellStart"/>
      <w:r w:rsidRPr="005A470D">
        <w:rPr>
          <w:rFonts w:ascii="Arial" w:hAnsi="Arial" w:cs="Arial"/>
          <w:snapToGrid w:val="0"/>
          <w:color w:val="0C1B27" w:themeColor="text1" w:themeShade="80"/>
          <w:sz w:val="20"/>
          <w:szCs w:val="20"/>
        </w:rPr>
        <w:t>Leeming</w:t>
      </w:r>
      <w:proofErr w:type="spellEnd"/>
      <w:r w:rsidRPr="005A470D">
        <w:rPr>
          <w:rFonts w:ascii="Arial" w:hAnsi="Arial" w:cs="Arial"/>
          <w:snapToGrid w:val="0"/>
          <w:color w:val="0C1B27" w:themeColor="text1" w:themeShade="80"/>
          <w:sz w:val="20"/>
          <w:szCs w:val="20"/>
        </w:rPr>
        <w:t xml:space="preserve"> bioenergy plant</w:t>
      </w:r>
      <w:r>
        <w:rPr>
          <w:rFonts w:ascii="Arial" w:hAnsi="Arial" w:cs="Arial"/>
          <w:snapToGrid w:val="0"/>
          <w:color w:val="0C1B27" w:themeColor="text1" w:themeShade="80"/>
          <w:sz w:val="20"/>
          <w:szCs w:val="20"/>
        </w:rPr>
        <w:t xml:space="preserve"> to generate sufficient energy (via </w:t>
      </w:r>
      <w:r w:rsidRPr="005A0D22">
        <w:rPr>
          <w:rFonts w:ascii="Arial" w:hAnsi="Arial" w:cs="Arial"/>
          <w:snapToGrid w:val="0"/>
          <w:color w:val="0C1B27" w:themeColor="text1" w:themeShade="80"/>
          <w:sz w:val="20"/>
          <w:szCs w:val="20"/>
        </w:rPr>
        <w:t xml:space="preserve">anaerobic digestion) </w:t>
      </w:r>
      <w:r>
        <w:rPr>
          <w:rFonts w:ascii="Arial" w:hAnsi="Arial" w:cs="Arial"/>
          <w:snapToGrid w:val="0"/>
          <w:color w:val="0C1B27" w:themeColor="text1" w:themeShade="80"/>
          <w:sz w:val="20"/>
          <w:szCs w:val="20"/>
        </w:rPr>
        <w:t>to power 800 homes per year (</w:t>
      </w:r>
      <w:r w:rsidRPr="00CF741A">
        <w:rPr>
          <w:rFonts w:ascii="Arial" w:hAnsi="Arial" w:cs="Arial"/>
          <w:snapToGrid w:val="0"/>
          <w:color w:val="0C1B27" w:themeColor="text1" w:themeShade="80"/>
          <w:sz w:val="20"/>
          <w:szCs w:val="20"/>
        </w:rPr>
        <w:t>arou</w:t>
      </w:r>
      <w:r w:rsidRPr="00CF741A">
        <w:rPr>
          <w:rFonts w:ascii="Arial" w:hAnsi="Arial" w:cs="Arial"/>
          <w:snapToGrid w:val="0"/>
          <w:color w:val="0C1B27" w:themeColor="text1" w:themeShade="80"/>
          <w:sz w:val="20"/>
          <w:szCs w:val="20"/>
        </w:rPr>
        <w:t>nd 10,000 MWh of thermal power)</w:t>
      </w:r>
      <w:r>
        <w:rPr>
          <w:rFonts w:ascii="Arial" w:hAnsi="Arial" w:cs="Arial"/>
          <w:snapToGrid w:val="0"/>
          <w:color w:val="0C1B27" w:themeColor="text1" w:themeShade="80"/>
          <w:sz w:val="20"/>
          <w:szCs w:val="20"/>
        </w:rPr>
        <w:t xml:space="preserve">.  The recent deal between Iona Capital and the </w:t>
      </w:r>
      <w:proofErr w:type="spellStart"/>
      <w:r>
        <w:rPr>
          <w:rFonts w:ascii="Arial" w:hAnsi="Arial" w:cs="Arial"/>
          <w:snapToGrid w:val="0"/>
          <w:color w:val="0C1B27" w:themeColor="text1" w:themeShade="80"/>
          <w:sz w:val="20"/>
          <w:szCs w:val="20"/>
        </w:rPr>
        <w:t>Wensleydale</w:t>
      </w:r>
      <w:proofErr w:type="spellEnd"/>
      <w:r>
        <w:rPr>
          <w:rFonts w:ascii="Arial" w:hAnsi="Arial" w:cs="Arial"/>
          <w:snapToGrid w:val="0"/>
          <w:color w:val="0C1B27" w:themeColor="text1" w:themeShade="80"/>
          <w:sz w:val="20"/>
          <w:szCs w:val="20"/>
        </w:rPr>
        <w:t xml:space="preserve"> Creamery has the additional benefit of diverting </w:t>
      </w:r>
      <w:r w:rsidRPr="00CF741A">
        <w:rPr>
          <w:rFonts w:ascii="Arial" w:hAnsi="Arial" w:cs="Arial"/>
          <w:snapToGrid w:val="0"/>
          <w:color w:val="0C1B27" w:themeColor="text1" w:themeShade="80"/>
          <w:sz w:val="20"/>
          <w:szCs w:val="20"/>
        </w:rPr>
        <w:t xml:space="preserve">food waste away from being allowed to rot in landfill where it produces carbon-rich methane. </w:t>
      </w:r>
      <w:r w:rsidRPr="005A470D">
        <w:rPr>
          <w:rFonts w:ascii="Arial" w:hAnsi="Arial" w:cs="Arial"/>
          <w:snapToGrid w:val="0"/>
          <w:color w:val="0C1B27" w:themeColor="text1" w:themeShade="80"/>
          <w:sz w:val="20"/>
          <w:szCs w:val="20"/>
        </w:rPr>
        <w:t xml:space="preserve">Once the cheese by-product supplied by </w:t>
      </w:r>
      <w:proofErr w:type="spellStart"/>
      <w:r w:rsidRPr="005A470D">
        <w:rPr>
          <w:rFonts w:ascii="Arial" w:hAnsi="Arial" w:cs="Arial"/>
          <w:snapToGrid w:val="0"/>
          <w:color w:val="0C1B27" w:themeColor="text1" w:themeShade="80"/>
          <w:sz w:val="20"/>
          <w:szCs w:val="20"/>
        </w:rPr>
        <w:t>Wensleydale</w:t>
      </w:r>
      <w:proofErr w:type="spellEnd"/>
      <w:r w:rsidRPr="005A470D">
        <w:rPr>
          <w:rFonts w:ascii="Arial" w:hAnsi="Arial" w:cs="Arial"/>
          <w:snapToGrid w:val="0"/>
          <w:color w:val="0C1B27" w:themeColor="text1" w:themeShade="80"/>
          <w:sz w:val="20"/>
          <w:szCs w:val="20"/>
        </w:rPr>
        <w:t xml:space="preserve"> is converted into sustainable gas, what’s left at the end of the process </w:t>
      </w:r>
      <w:r>
        <w:rPr>
          <w:rFonts w:ascii="Arial" w:hAnsi="Arial" w:cs="Arial"/>
          <w:snapToGrid w:val="0"/>
          <w:color w:val="0C1B27" w:themeColor="text1" w:themeShade="80"/>
          <w:sz w:val="20"/>
          <w:szCs w:val="20"/>
        </w:rPr>
        <w:t>will be</w:t>
      </w:r>
      <w:r w:rsidRPr="005A470D">
        <w:rPr>
          <w:rFonts w:ascii="Arial" w:hAnsi="Arial" w:cs="Arial"/>
          <w:snapToGrid w:val="0"/>
          <w:color w:val="0C1B27" w:themeColor="text1" w:themeShade="80"/>
          <w:sz w:val="20"/>
          <w:szCs w:val="20"/>
        </w:rPr>
        <w:t xml:space="preserve"> fed onto neighbouring farmland to improve local topsoil </w:t>
      </w:r>
      <w:proofErr w:type="gramStart"/>
      <w:r w:rsidRPr="005A470D">
        <w:rPr>
          <w:rFonts w:ascii="Arial" w:hAnsi="Arial" w:cs="Arial"/>
          <w:snapToGrid w:val="0"/>
          <w:color w:val="0C1B27" w:themeColor="text1" w:themeShade="80"/>
          <w:sz w:val="20"/>
          <w:szCs w:val="20"/>
        </w:rPr>
        <w:t>quality.</w:t>
      </w:r>
      <w:proofErr w:type="gramEnd"/>
    </w:p>
    <w:p w:rsidR="005A470D" w:rsidRDefault="009766EF" w:rsidP="005A470D">
      <w:pPr>
        <w:spacing w:after="0"/>
        <w:rPr>
          <w:rFonts w:ascii="Arial" w:hAnsi="Arial" w:cs="Arial"/>
          <w:snapToGrid w:val="0"/>
          <w:color w:val="0C1B27" w:themeColor="text1" w:themeShade="80"/>
          <w:sz w:val="20"/>
          <w:szCs w:val="20"/>
        </w:rPr>
      </w:pPr>
    </w:p>
    <w:p w:rsidR="005A470D" w:rsidRPr="005A470D" w:rsidRDefault="009766EF" w:rsidP="005A470D">
      <w:pPr>
        <w:spacing w:after="0"/>
        <w:rPr>
          <w:rFonts w:ascii="Arial" w:hAnsi="Arial" w:cs="Arial"/>
          <w:snapToGrid w:val="0"/>
          <w:color w:val="0C1B27" w:themeColor="text1" w:themeShade="80"/>
          <w:sz w:val="20"/>
          <w:szCs w:val="20"/>
        </w:rPr>
      </w:pPr>
      <w:r w:rsidRPr="005A470D">
        <w:rPr>
          <w:rFonts w:ascii="Arial" w:hAnsi="Arial" w:cs="Arial"/>
          <w:snapToGrid w:val="0"/>
          <w:color w:val="0C1B27" w:themeColor="text1" w:themeShade="80"/>
          <w:sz w:val="20"/>
          <w:szCs w:val="20"/>
        </w:rPr>
        <w:t>Mike Dunn, co-founder of Iona Capital - "This shows the re</w:t>
      </w:r>
      <w:r w:rsidRPr="005A470D">
        <w:rPr>
          <w:rFonts w:ascii="Arial" w:hAnsi="Arial" w:cs="Arial"/>
          <w:snapToGrid w:val="0"/>
          <w:color w:val="0C1B27" w:themeColor="text1" w:themeShade="80"/>
          <w:sz w:val="20"/>
          <w:szCs w:val="20"/>
        </w:rPr>
        <w:t>al impact of the circular economy and the part intelligent investment can play in reducing our carbon emissions.”</w:t>
      </w:r>
    </w:p>
    <w:p w:rsidR="005A470D" w:rsidRDefault="009766EF" w:rsidP="00AC076D">
      <w:pPr>
        <w:spacing w:after="0"/>
        <w:rPr>
          <w:rFonts w:ascii="Arial" w:hAnsi="Arial" w:cs="Arial"/>
          <w:snapToGrid w:val="0"/>
          <w:color w:val="0C1B27" w:themeColor="text1" w:themeShade="80"/>
          <w:sz w:val="20"/>
          <w:szCs w:val="20"/>
        </w:rPr>
      </w:pPr>
    </w:p>
    <w:p w:rsidR="005A0D22" w:rsidRDefault="009766EF" w:rsidP="00AC076D">
      <w:pPr>
        <w:spacing w:after="0"/>
        <w:rPr>
          <w:rFonts w:ascii="Arial" w:hAnsi="Arial" w:cs="Arial"/>
          <w:snapToGrid w:val="0"/>
          <w:color w:val="0C1B27" w:themeColor="text1" w:themeShade="80"/>
          <w:sz w:val="20"/>
          <w:szCs w:val="20"/>
        </w:rPr>
      </w:pPr>
      <w:r>
        <w:rPr>
          <w:rFonts w:ascii="Arial" w:hAnsi="Arial" w:cs="Arial"/>
          <w:snapToGrid w:val="0"/>
          <w:color w:val="0C1B27" w:themeColor="text1" w:themeShade="80"/>
          <w:sz w:val="20"/>
          <w:szCs w:val="20"/>
        </w:rPr>
        <w:t>Iona Capital’s full press release on the arrangement is available from the following link.</w:t>
      </w:r>
    </w:p>
    <w:p w:rsidR="005A0D22" w:rsidRDefault="009766EF" w:rsidP="005A0D22">
      <w:pPr>
        <w:shd w:val="clear" w:color="auto" w:fill="FFFFFF"/>
        <w:spacing w:after="0" w:line="240" w:lineRule="auto"/>
        <w:rPr>
          <w:rFonts w:ascii="Arial" w:hAnsi="Arial" w:cs="Arial"/>
          <w:color w:val="0070C0"/>
          <w:sz w:val="20"/>
          <w:szCs w:val="20"/>
        </w:rPr>
      </w:pPr>
      <w:hyperlink r:id="rId24" w:history="1">
        <w:r w:rsidRPr="00AC75E6">
          <w:rPr>
            <w:rFonts w:ascii="Arial" w:hAnsi="Arial" w:cs="Arial"/>
            <w:color w:val="0070C0"/>
            <w:sz w:val="20"/>
            <w:szCs w:val="20"/>
          </w:rPr>
          <w:t>https://www.ionacapital.co.uk/single-post/2019/07/15/Iona-Capital-partnership-with-The-Wensleydale-Creame</w:t>
        </w:r>
        <w:r w:rsidRPr="00AC75E6">
          <w:rPr>
            <w:rFonts w:ascii="Arial" w:hAnsi="Arial" w:cs="Arial"/>
            <w:color w:val="0070C0"/>
            <w:sz w:val="20"/>
            <w:szCs w:val="20"/>
          </w:rPr>
          <w:t>ry-to-produce-energy-from-cheese</w:t>
        </w:r>
      </w:hyperlink>
    </w:p>
    <w:p w:rsidR="00AC75E6" w:rsidRPr="00AC75E6" w:rsidRDefault="009766EF" w:rsidP="005A0D22">
      <w:pPr>
        <w:shd w:val="clear" w:color="auto" w:fill="FFFFFF"/>
        <w:spacing w:after="0" w:line="240" w:lineRule="auto"/>
        <w:rPr>
          <w:rFonts w:ascii="Arial" w:hAnsi="Arial" w:cs="Arial"/>
          <w:color w:val="0070C0"/>
          <w:sz w:val="20"/>
          <w:szCs w:val="20"/>
        </w:rPr>
      </w:pPr>
    </w:p>
    <w:p w:rsidR="005A470D" w:rsidRPr="005A470D" w:rsidRDefault="009766EF" w:rsidP="005A470D">
      <w:pPr>
        <w:spacing w:after="0"/>
        <w:rPr>
          <w:rFonts w:ascii="Arial" w:hAnsi="Arial" w:cs="Arial"/>
          <w:snapToGrid w:val="0"/>
          <w:color w:val="0C1B27" w:themeColor="text1" w:themeShade="80"/>
          <w:sz w:val="20"/>
          <w:szCs w:val="20"/>
        </w:rPr>
      </w:pPr>
      <w:r>
        <w:rPr>
          <w:rFonts w:ascii="Arial" w:hAnsi="Arial" w:cs="Arial"/>
          <w:snapToGrid w:val="0"/>
          <w:color w:val="0C1B27" w:themeColor="text1" w:themeShade="80"/>
          <w:sz w:val="20"/>
          <w:szCs w:val="20"/>
        </w:rPr>
        <w:t>The story was picked up by multiple publications including BBC local news, The Guardian and</w:t>
      </w:r>
      <w:r w:rsidRPr="00CF741A">
        <w:rPr>
          <w:rFonts w:ascii="Arial" w:hAnsi="Arial" w:cs="Arial"/>
          <w:snapToGrid w:val="0"/>
          <w:color w:val="0C1B27" w:themeColor="text1" w:themeShade="80"/>
          <w:sz w:val="20"/>
          <w:szCs w:val="20"/>
        </w:rPr>
        <w:t xml:space="preserve"> </w:t>
      </w:r>
      <w:proofErr w:type="spellStart"/>
      <w:r>
        <w:rPr>
          <w:rFonts w:ascii="Arial" w:hAnsi="Arial" w:cs="Arial"/>
          <w:snapToGrid w:val="0"/>
          <w:color w:val="0C1B27" w:themeColor="text1" w:themeShade="80"/>
          <w:sz w:val="20"/>
          <w:szCs w:val="20"/>
        </w:rPr>
        <w:t>BusinessGreen</w:t>
      </w:r>
      <w:proofErr w:type="spellEnd"/>
      <w:r>
        <w:rPr>
          <w:rFonts w:ascii="Arial" w:hAnsi="Arial" w:cs="Arial"/>
          <w:snapToGrid w:val="0"/>
          <w:color w:val="0C1B27" w:themeColor="text1" w:themeShade="80"/>
          <w:sz w:val="20"/>
          <w:szCs w:val="20"/>
        </w:rPr>
        <w:t xml:space="preserve">. </w:t>
      </w:r>
    </w:p>
    <w:p w:rsidR="005A0D22" w:rsidRPr="005A0D22" w:rsidRDefault="009766EF" w:rsidP="005A0D22">
      <w:pPr>
        <w:shd w:val="clear" w:color="auto" w:fill="FFFFFF"/>
        <w:spacing w:after="0" w:line="240" w:lineRule="auto"/>
        <w:rPr>
          <w:rFonts w:ascii="Arial" w:hAnsi="Arial" w:cs="Arial"/>
          <w:color w:val="0000FF"/>
          <w:sz w:val="20"/>
          <w:szCs w:val="20"/>
        </w:rPr>
      </w:pPr>
    </w:p>
    <w:p w:rsidR="00026080" w:rsidRDefault="009766EF" w:rsidP="000B7136">
      <w:pPr>
        <w:rPr>
          <w:rFonts w:ascii="Arial" w:hAnsi="Arial" w:cs="Arial"/>
          <w:b/>
          <w:bCs/>
          <w:color w:val="183850" w:themeColor="text1"/>
          <w:sz w:val="20"/>
          <w:szCs w:val="20"/>
        </w:rPr>
      </w:pPr>
      <w:r w:rsidRPr="004614CC">
        <w:rPr>
          <w:rFonts w:ascii="Arial" w:hAnsi="Arial" w:cs="Arial"/>
          <w:b/>
          <w:bCs/>
          <w:color w:val="183850" w:themeColor="text1"/>
          <w:sz w:val="20"/>
          <w:szCs w:val="20"/>
        </w:rPr>
        <w:t>Other Insigh</w:t>
      </w:r>
      <w:r>
        <w:rPr>
          <w:rFonts w:ascii="Arial" w:hAnsi="Arial" w:cs="Arial"/>
          <w:b/>
          <w:bCs/>
          <w:color w:val="183850" w:themeColor="text1"/>
          <w:sz w:val="20"/>
          <w:szCs w:val="20"/>
        </w:rPr>
        <w:t>ts</w:t>
      </w:r>
    </w:p>
    <w:p w:rsidR="00C97B27" w:rsidRPr="000533E0" w:rsidRDefault="009766EF" w:rsidP="000533E0">
      <w:pPr>
        <w:spacing w:after="0"/>
        <w:rPr>
          <w:rFonts w:ascii="Arial" w:hAnsi="Arial" w:cs="Arial"/>
          <w:snapToGrid w:val="0"/>
          <w:color w:val="0C1B27" w:themeColor="text1" w:themeShade="80"/>
          <w:sz w:val="20"/>
          <w:szCs w:val="20"/>
        </w:rPr>
      </w:pPr>
      <w:r w:rsidRPr="000533E0">
        <w:rPr>
          <w:rFonts w:ascii="Arial" w:hAnsi="Arial" w:cs="Arial"/>
          <w:snapToGrid w:val="0"/>
          <w:color w:val="0C1B27" w:themeColor="text1" w:themeShade="80"/>
          <w:sz w:val="20"/>
          <w:szCs w:val="20"/>
        </w:rPr>
        <w:t>New Resources</w:t>
      </w:r>
    </w:p>
    <w:p w:rsidR="00D854F3" w:rsidRDefault="009766EF" w:rsidP="000533E0">
      <w:pPr>
        <w:spacing w:after="0"/>
        <w:rPr>
          <w:rFonts w:ascii="Arial" w:hAnsi="Arial" w:cs="Arial"/>
          <w:snapToGrid w:val="0"/>
          <w:color w:val="0C1B27" w:themeColor="text1" w:themeShade="80"/>
          <w:sz w:val="20"/>
          <w:szCs w:val="20"/>
        </w:rPr>
      </w:pPr>
    </w:p>
    <w:p w:rsidR="00FB48E9" w:rsidRPr="000533E0" w:rsidRDefault="009766EF" w:rsidP="000533E0">
      <w:pPr>
        <w:spacing w:after="0"/>
        <w:rPr>
          <w:rFonts w:ascii="Arial" w:hAnsi="Arial" w:cs="Arial"/>
          <w:snapToGrid w:val="0"/>
          <w:color w:val="0C1B27" w:themeColor="text1" w:themeShade="80"/>
          <w:sz w:val="20"/>
          <w:szCs w:val="20"/>
        </w:rPr>
      </w:pPr>
      <w:r w:rsidRPr="000533E0">
        <w:rPr>
          <w:rFonts w:ascii="Arial" w:hAnsi="Arial" w:cs="Arial"/>
          <w:snapToGrid w:val="0"/>
          <w:color w:val="0C1B27" w:themeColor="text1" w:themeShade="80"/>
          <w:sz w:val="20"/>
          <w:szCs w:val="20"/>
        </w:rPr>
        <w:t xml:space="preserve">LPPI has recruited a new RI Analyst to its Investment Team. Paul Britton (based </w:t>
      </w:r>
      <w:r w:rsidRPr="000533E0">
        <w:rPr>
          <w:rFonts w:ascii="Arial" w:hAnsi="Arial" w:cs="Arial"/>
          <w:snapToGrid w:val="0"/>
          <w:color w:val="0C1B27" w:themeColor="text1" w:themeShade="80"/>
          <w:sz w:val="20"/>
          <w:szCs w:val="20"/>
        </w:rPr>
        <w:t xml:space="preserve">in the London office) joined in June 2019 to replace Clarisse </w:t>
      </w:r>
      <w:proofErr w:type="spellStart"/>
      <w:r w:rsidRPr="000533E0">
        <w:rPr>
          <w:rFonts w:ascii="Arial" w:hAnsi="Arial" w:cs="Arial"/>
          <w:snapToGrid w:val="0"/>
          <w:color w:val="0C1B27" w:themeColor="text1" w:themeShade="80"/>
          <w:sz w:val="20"/>
          <w:szCs w:val="20"/>
        </w:rPr>
        <w:t>Simonek</w:t>
      </w:r>
      <w:proofErr w:type="spellEnd"/>
      <w:r w:rsidRPr="000533E0">
        <w:rPr>
          <w:rFonts w:ascii="Arial" w:hAnsi="Arial" w:cs="Arial"/>
          <w:snapToGrid w:val="0"/>
          <w:color w:val="0C1B27" w:themeColor="text1" w:themeShade="80"/>
          <w:sz w:val="20"/>
          <w:szCs w:val="20"/>
        </w:rPr>
        <w:t xml:space="preserve"> who remains with LPP having transitioned into a deputy portfolio manager role in the Investment Strategy Team.  Paul works directly with the Head of RI and will focus primarily on public</w:t>
      </w:r>
      <w:r w:rsidRPr="000533E0">
        <w:rPr>
          <w:rFonts w:ascii="Arial" w:hAnsi="Arial" w:cs="Arial"/>
          <w:snapToGrid w:val="0"/>
          <w:color w:val="0C1B27" w:themeColor="text1" w:themeShade="80"/>
          <w:sz w:val="20"/>
          <w:szCs w:val="20"/>
        </w:rPr>
        <w:t xml:space="preserve"> market asset classes, including having day to day responsibility for the oversight of shareholder voting.</w:t>
      </w:r>
    </w:p>
    <w:p w:rsidR="00D854F3" w:rsidRDefault="009766EF" w:rsidP="000533E0">
      <w:pPr>
        <w:spacing w:after="0"/>
        <w:rPr>
          <w:rFonts w:ascii="Arial" w:hAnsi="Arial" w:cs="Arial"/>
          <w:snapToGrid w:val="0"/>
          <w:color w:val="0C1B27" w:themeColor="text1" w:themeShade="80"/>
          <w:sz w:val="20"/>
          <w:szCs w:val="20"/>
        </w:rPr>
      </w:pPr>
    </w:p>
    <w:p w:rsidR="00C97B27" w:rsidRPr="000533E0" w:rsidRDefault="009766EF" w:rsidP="000533E0">
      <w:pPr>
        <w:spacing w:after="0"/>
        <w:rPr>
          <w:rFonts w:ascii="Arial" w:hAnsi="Arial" w:cs="Arial"/>
          <w:snapToGrid w:val="0"/>
          <w:color w:val="0C1B27" w:themeColor="text1" w:themeShade="80"/>
          <w:sz w:val="20"/>
          <w:szCs w:val="20"/>
        </w:rPr>
      </w:pPr>
      <w:r w:rsidRPr="000533E0">
        <w:rPr>
          <w:rFonts w:ascii="Arial" w:hAnsi="Arial" w:cs="Arial"/>
          <w:snapToGrid w:val="0"/>
          <w:color w:val="0C1B27" w:themeColor="text1" w:themeShade="80"/>
          <w:sz w:val="20"/>
          <w:szCs w:val="20"/>
        </w:rPr>
        <w:t>PRI Transparency Report Released</w:t>
      </w:r>
    </w:p>
    <w:p w:rsidR="00D854F3" w:rsidRDefault="009766EF" w:rsidP="000533E0">
      <w:pPr>
        <w:spacing w:after="0"/>
        <w:rPr>
          <w:rFonts w:ascii="Arial" w:hAnsi="Arial" w:cs="Arial"/>
          <w:snapToGrid w:val="0"/>
          <w:color w:val="0C1B27" w:themeColor="text1" w:themeShade="80"/>
          <w:sz w:val="20"/>
          <w:szCs w:val="20"/>
        </w:rPr>
      </w:pPr>
    </w:p>
    <w:p w:rsidR="00C9313B" w:rsidRPr="000533E0" w:rsidRDefault="009766EF" w:rsidP="000533E0">
      <w:pPr>
        <w:spacing w:after="0"/>
        <w:rPr>
          <w:rFonts w:ascii="Arial" w:hAnsi="Arial" w:cs="Arial"/>
          <w:color w:val="0070C0"/>
          <w:sz w:val="20"/>
          <w:szCs w:val="20"/>
        </w:rPr>
      </w:pPr>
      <w:r w:rsidRPr="000533E0">
        <w:rPr>
          <w:rFonts w:ascii="Arial" w:hAnsi="Arial" w:cs="Arial"/>
          <w:snapToGrid w:val="0"/>
          <w:color w:val="0C1B27" w:themeColor="text1" w:themeShade="80"/>
          <w:sz w:val="20"/>
          <w:szCs w:val="20"/>
        </w:rPr>
        <w:lastRenderedPageBreak/>
        <w:t>As reported to the Committee at its last meeting, in March 2019 LPP submitted a first set of detailed annual repor</w:t>
      </w:r>
      <w:r w:rsidRPr="000533E0">
        <w:rPr>
          <w:rFonts w:ascii="Arial" w:hAnsi="Arial" w:cs="Arial"/>
          <w:snapToGrid w:val="0"/>
          <w:color w:val="0C1B27" w:themeColor="text1" w:themeShade="80"/>
          <w:sz w:val="20"/>
          <w:szCs w:val="20"/>
        </w:rPr>
        <w:t xml:space="preserve">ting to the Principles of Responsible Investment (PRI) having become a PRI signatory in July 2019.  The PRI has now published 2019 Transparency Reports for all signatories via its website. LPP’s </w:t>
      </w:r>
      <w:r>
        <w:rPr>
          <w:rFonts w:ascii="Arial" w:hAnsi="Arial" w:cs="Arial"/>
          <w:snapToGrid w:val="0"/>
          <w:color w:val="0C1B27" w:themeColor="text1" w:themeShade="80"/>
          <w:sz w:val="20"/>
          <w:szCs w:val="20"/>
        </w:rPr>
        <w:t xml:space="preserve">first </w:t>
      </w:r>
      <w:r w:rsidRPr="000533E0">
        <w:rPr>
          <w:rFonts w:ascii="Arial" w:hAnsi="Arial" w:cs="Arial"/>
          <w:snapToGrid w:val="0"/>
          <w:color w:val="0C1B27" w:themeColor="text1" w:themeShade="80"/>
          <w:sz w:val="20"/>
          <w:szCs w:val="20"/>
        </w:rPr>
        <w:t>detailed report against the PRI disclosure framework is</w:t>
      </w:r>
      <w:r w:rsidRPr="000533E0">
        <w:rPr>
          <w:rFonts w:ascii="Arial" w:hAnsi="Arial" w:cs="Arial"/>
          <w:snapToGrid w:val="0"/>
          <w:color w:val="0C1B27" w:themeColor="text1" w:themeShade="80"/>
          <w:sz w:val="20"/>
          <w:szCs w:val="20"/>
        </w:rPr>
        <w:t xml:space="preserve"> available from the following link:</w:t>
      </w:r>
      <w:r>
        <w:rPr>
          <w:rFonts w:ascii="Arial" w:hAnsi="Arial" w:cs="Arial"/>
          <w:color w:val="183850" w:themeColor="text1"/>
          <w:sz w:val="20"/>
          <w:szCs w:val="20"/>
        </w:rPr>
        <w:t xml:space="preserve"> </w:t>
      </w:r>
      <w:hyperlink r:id="rId25" w:history="1">
        <w:r w:rsidRPr="000533E0">
          <w:rPr>
            <w:rFonts w:ascii="Arial" w:hAnsi="Arial" w:cs="Arial"/>
            <w:color w:val="0070C0"/>
            <w:sz w:val="20"/>
            <w:szCs w:val="20"/>
          </w:rPr>
          <w:t>https://www.unpri.org/signatory-directory/local-pensions-partnership/3478.article</w:t>
        </w:r>
      </w:hyperlink>
    </w:p>
    <w:p w:rsidR="000533E0" w:rsidRDefault="009766EF" w:rsidP="000533E0">
      <w:pPr>
        <w:spacing w:after="0"/>
        <w:rPr>
          <w:rFonts w:ascii="Arial" w:hAnsi="Arial" w:cs="Arial"/>
          <w:color w:val="183850" w:themeColor="text1"/>
          <w:sz w:val="20"/>
          <w:szCs w:val="20"/>
        </w:rPr>
      </w:pPr>
    </w:p>
    <w:p w:rsidR="000533E0" w:rsidRDefault="009766EF" w:rsidP="000533E0">
      <w:pPr>
        <w:spacing w:after="0"/>
        <w:rPr>
          <w:rFonts w:ascii="Arial" w:hAnsi="Arial" w:cs="Arial"/>
          <w:color w:val="183850" w:themeColor="text1"/>
          <w:sz w:val="20"/>
          <w:szCs w:val="20"/>
        </w:rPr>
      </w:pPr>
      <w:r>
        <w:rPr>
          <w:rFonts w:ascii="Arial" w:hAnsi="Arial" w:cs="Arial"/>
          <w:color w:val="183850" w:themeColor="text1"/>
          <w:sz w:val="20"/>
          <w:szCs w:val="20"/>
        </w:rPr>
        <w:t>Separately, each PRI signatory receives a confidential Assessment Report from the PRI which includes module scores which benchmark them against comparable signatories (peers) and offer a basis for tracking progress, identifying improvements over time and f</w:t>
      </w:r>
      <w:r>
        <w:rPr>
          <w:rFonts w:ascii="Arial" w:hAnsi="Arial" w:cs="Arial"/>
          <w:color w:val="183850" w:themeColor="text1"/>
          <w:sz w:val="20"/>
          <w:szCs w:val="20"/>
        </w:rPr>
        <w:t xml:space="preserve">ocussing development effort. </w:t>
      </w:r>
    </w:p>
    <w:p w:rsidR="00C97B27" w:rsidRDefault="009766EF" w:rsidP="000533E0">
      <w:pPr>
        <w:spacing w:after="0"/>
        <w:rPr>
          <w:rFonts w:ascii="Arial" w:hAnsi="Arial" w:cs="Arial"/>
          <w:color w:val="183850" w:themeColor="text1"/>
          <w:sz w:val="20"/>
          <w:szCs w:val="20"/>
        </w:rPr>
      </w:pPr>
      <w:r>
        <w:rPr>
          <w:rFonts w:ascii="Arial" w:hAnsi="Arial" w:cs="Arial"/>
          <w:color w:val="183850" w:themeColor="text1"/>
          <w:sz w:val="20"/>
          <w:szCs w:val="20"/>
        </w:rPr>
        <w:t>LPP received an A rating (highest band) for 4 out of 5 modules scored</w:t>
      </w:r>
      <w:r w:rsidRPr="004A5140">
        <w:rPr>
          <w:rFonts w:ascii="Arial" w:hAnsi="Arial" w:cs="Arial"/>
          <w:color w:val="183850" w:themeColor="text1"/>
          <w:sz w:val="20"/>
          <w:szCs w:val="20"/>
        </w:rPr>
        <w:t xml:space="preserve"> </w:t>
      </w:r>
      <w:r>
        <w:rPr>
          <w:rFonts w:ascii="Arial" w:hAnsi="Arial" w:cs="Arial"/>
          <w:color w:val="183850" w:themeColor="text1"/>
          <w:sz w:val="20"/>
          <w:szCs w:val="20"/>
        </w:rPr>
        <w:t>and a C for the fifth module. This is a very positive baseline from which to progress and evolve RI reporting going forward.</w:t>
      </w:r>
    </w:p>
    <w:p w:rsidR="000533E0" w:rsidRDefault="009766EF" w:rsidP="000533E0">
      <w:pPr>
        <w:spacing w:after="0"/>
        <w:rPr>
          <w:rFonts w:ascii="Arial" w:hAnsi="Arial" w:cs="Arial"/>
          <w:color w:val="183850" w:themeColor="text1"/>
          <w:sz w:val="20"/>
          <w:szCs w:val="20"/>
        </w:rPr>
      </w:pPr>
    </w:p>
    <w:p w:rsidR="006A78F8" w:rsidRDefault="009766EF" w:rsidP="000533E0">
      <w:pPr>
        <w:spacing w:after="0"/>
        <w:rPr>
          <w:rFonts w:ascii="Arial" w:hAnsi="Arial" w:cs="Arial"/>
          <w:color w:val="183850" w:themeColor="text1"/>
          <w:sz w:val="20"/>
          <w:szCs w:val="20"/>
        </w:rPr>
      </w:pPr>
      <w:r>
        <w:rPr>
          <w:rFonts w:ascii="Arial" w:hAnsi="Arial" w:cs="Arial"/>
          <w:color w:val="183850" w:themeColor="text1"/>
          <w:sz w:val="20"/>
          <w:szCs w:val="20"/>
        </w:rPr>
        <w:t xml:space="preserve">Through PRI reporting, LPP is </w:t>
      </w:r>
      <w:r>
        <w:rPr>
          <w:rFonts w:ascii="Arial" w:hAnsi="Arial" w:cs="Arial"/>
          <w:color w:val="183850" w:themeColor="text1"/>
          <w:sz w:val="20"/>
          <w:szCs w:val="20"/>
        </w:rPr>
        <w:t>releasing significantly more information into the public domain than on our approach (policy and governance) and activities (practical implementation) as a responsible asset owner on behalf of client pension funds.  Whilst two other LGPS pools became PRI s</w:t>
      </w:r>
      <w:r>
        <w:rPr>
          <w:rFonts w:ascii="Arial" w:hAnsi="Arial" w:cs="Arial"/>
          <w:color w:val="183850" w:themeColor="text1"/>
          <w:sz w:val="20"/>
          <w:szCs w:val="20"/>
        </w:rPr>
        <w:t>ignatories in 2018 (Brunel and LGPS Central) LPP was the only LGPS pool to submit a report to the PRI by the 2019 deadline.</w:t>
      </w:r>
    </w:p>
    <w:p w:rsidR="000533E0" w:rsidRDefault="009766EF" w:rsidP="000533E0">
      <w:pPr>
        <w:spacing w:after="0"/>
        <w:rPr>
          <w:rFonts w:ascii="Arial" w:hAnsi="Arial" w:cs="Arial"/>
          <w:color w:val="183850" w:themeColor="text1"/>
          <w:sz w:val="20"/>
          <w:szCs w:val="20"/>
        </w:rPr>
      </w:pPr>
    </w:p>
    <w:p w:rsidR="00FB48E9" w:rsidRPr="00FB48E9" w:rsidRDefault="009766EF" w:rsidP="001B1A81">
      <w:pPr>
        <w:spacing w:after="0"/>
        <w:rPr>
          <w:rFonts w:ascii="Arial" w:hAnsi="Arial" w:cs="Arial"/>
          <w:color w:val="183850" w:themeColor="text1"/>
          <w:sz w:val="20"/>
          <w:szCs w:val="20"/>
        </w:rPr>
      </w:pPr>
      <w:r>
        <w:rPr>
          <w:rFonts w:ascii="Arial" w:hAnsi="Arial" w:cs="Arial"/>
          <w:color w:val="183850" w:themeColor="text1"/>
          <w:sz w:val="20"/>
          <w:szCs w:val="20"/>
        </w:rPr>
        <w:t>Additional Reporting – Taskforce on Climate Related Financial Disclosure</w:t>
      </w:r>
    </w:p>
    <w:p w:rsidR="001B1A81" w:rsidRDefault="009766EF" w:rsidP="001B1A81">
      <w:pPr>
        <w:spacing w:after="0"/>
        <w:rPr>
          <w:rFonts w:ascii="Arial" w:hAnsi="Arial" w:cs="Arial"/>
          <w:color w:val="183850" w:themeColor="text1"/>
          <w:sz w:val="20"/>
          <w:szCs w:val="20"/>
        </w:rPr>
      </w:pPr>
    </w:p>
    <w:p w:rsidR="005C2163" w:rsidRPr="003D7ABC" w:rsidRDefault="009766EF" w:rsidP="001B1A81">
      <w:pPr>
        <w:spacing w:after="0"/>
        <w:rPr>
          <w:rFonts w:ascii="Arial" w:hAnsi="Arial" w:cs="Arial"/>
          <w:color w:val="0070C0"/>
          <w:sz w:val="20"/>
          <w:szCs w:val="20"/>
        </w:rPr>
      </w:pPr>
      <w:r>
        <w:rPr>
          <w:rFonts w:ascii="Arial" w:hAnsi="Arial" w:cs="Arial"/>
          <w:color w:val="183850" w:themeColor="text1"/>
          <w:sz w:val="20"/>
          <w:szCs w:val="20"/>
        </w:rPr>
        <w:t xml:space="preserve">As part of the annual reporting process for 2018/19, </w:t>
      </w:r>
      <w:r w:rsidRPr="005C2163">
        <w:rPr>
          <w:rFonts w:ascii="Arial" w:hAnsi="Arial" w:cs="Arial"/>
          <w:color w:val="183850" w:themeColor="text1"/>
          <w:sz w:val="20"/>
          <w:szCs w:val="20"/>
        </w:rPr>
        <w:t xml:space="preserve">LPP </w:t>
      </w:r>
      <w:r w:rsidRPr="005C2163">
        <w:rPr>
          <w:rFonts w:ascii="Arial" w:hAnsi="Arial" w:cs="Arial"/>
          <w:color w:val="183850" w:themeColor="text1"/>
          <w:sz w:val="20"/>
          <w:szCs w:val="20"/>
        </w:rPr>
        <w:t xml:space="preserve">has </w:t>
      </w:r>
      <w:r>
        <w:rPr>
          <w:rFonts w:ascii="Arial" w:hAnsi="Arial" w:cs="Arial"/>
          <w:color w:val="183850" w:themeColor="text1"/>
          <w:sz w:val="20"/>
          <w:szCs w:val="20"/>
        </w:rPr>
        <w:t>fulfilled a commitment (within its RI Policy – Annex on Climate Change) to begin reporting in line with the final recommendations of the TCFD which encourage asset owners and asset managers to voluntarily disclose information on how their governance an</w:t>
      </w:r>
      <w:r>
        <w:rPr>
          <w:rFonts w:ascii="Arial" w:hAnsi="Arial" w:cs="Arial"/>
          <w:color w:val="183850" w:themeColor="text1"/>
          <w:sz w:val="20"/>
          <w:szCs w:val="20"/>
        </w:rPr>
        <w:t>d operational arrangements integrate the identification and management of climate change.</w:t>
      </w:r>
    </w:p>
    <w:p w:rsidR="003D7ABC" w:rsidRPr="003D7ABC" w:rsidRDefault="009766EF" w:rsidP="001B1A81">
      <w:pPr>
        <w:spacing w:after="0"/>
        <w:rPr>
          <w:rFonts w:ascii="Arial" w:hAnsi="Arial" w:cs="Arial"/>
          <w:color w:val="0070C0"/>
          <w:sz w:val="20"/>
          <w:szCs w:val="20"/>
        </w:rPr>
      </w:pPr>
    </w:p>
    <w:p w:rsidR="003D7ABC" w:rsidRPr="003D7ABC" w:rsidRDefault="009766EF" w:rsidP="003D7ABC">
      <w:pPr>
        <w:spacing w:after="0"/>
        <w:rPr>
          <w:rFonts w:ascii="Arial" w:hAnsi="Arial" w:cs="Arial"/>
          <w:color w:val="0070C0"/>
          <w:sz w:val="20"/>
          <w:szCs w:val="20"/>
        </w:rPr>
      </w:pPr>
      <w:r>
        <w:rPr>
          <w:rFonts w:ascii="Arial" w:hAnsi="Arial" w:cs="Arial"/>
          <w:color w:val="183850" w:themeColor="text1"/>
          <w:sz w:val="20"/>
          <w:szCs w:val="20"/>
        </w:rPr>
        <w:t xml:space="preserve">LPP has taken first steps to begin disclosing in line with the TCFD recommendations via a report which accompanies the Annual Report and is available from the LPP </w:t>
      </w:r>
      <w:r>
        <w:rPr>
          <w:rFonts w:ascii="Arial" w:hAnsi="Arial" w:cs="Arial"/>
          <w:color w:val="183850" w:themeColor="text1"/>
          <w:sz w:val="20"/>
          <w:szCs w:val="20"/>
        </w:rPr>
        <w:t>website at the following link.</w:t>
      </w:r>
      <w:r w:rsidRPr="003D7ABC">
        <w:rPr>
          <w:rFonts w:ascii="Arial" w:hAnsi="Arial" w:cs="Arial"/>
          <w:color w:val="0070C0"/>
          <w:sz w:val="20"/>
          <w:szCs w:val="20"/>
        </w:rPr>
        <w:t xml:space="preserve"> </w:t>
      </w:r>
      <w:hyperlink r:id="rId26" w:history="1">
        <w:r w:rsidRPr="003D7ABC">
          <w:rPr>
            <w:rStyle w:val="Hyperlink"/>
            <w:rFonts w:ascii="Arial" w:hAnsi="Arial" w:cs="Arial"/>
            <w:color w:val="0070C0"/>
            <w:sz w:val="20"/>
            <w:szCs w:val="20"/>
          </w:rPr>
          <w:t>https://www.localpensionspartnership.org.uk/Admin/Public/DWSDownload.aspx?File=</w:t>
        </w:r>
        <w:r w:rsidRPr="003D7ABC">
          <w:rPr>
            <w:rStyle w:val="Hyperlink"/>
            <w:rFonts w:ascii="Arial" w:hAnsi="Arial" w:cs="Arial"/>
            <w:color w:val="0070C0"/>
            <w:sz w:val="20"/>
            <w:szCs w:val="20"/>
          </w:rPr>
          <w:t>%2fFiles%2fFiles%2fReport+TCFD+Recommendations+v4.pdf</w:t>
        </w:r>
      </w:hyperlink>
    </w:p>
    <w:p w:rsidR="003D7ABC" w:rsidRDefault="009766EF" w:rsidP="003D7ABC">
      <w:pPr>
        <w:spacing w:after="0"/>
        <w:rPr>
          <w:rFonts w:ascii="Arial" w:hAnsi="Arial" w:cs="Arial"/>
          <w:color w:val="0070C0"/>
          <w:sz w:val="20"/>
          <w:szCs w:val="20"/>
        </w:rPr>
      </w:pPr>
      <w:r>
        <w:rPr>
          <w:rFonts w:ascii="Arial" w:hAnsi="Arial" w:cs="Arial"/>
          <w:color w:val="183850" w:themeColor="text1"/>
          <w:sz w:val="20"/>
          <w:szCs w:val="20"/>
        </w:rPr>
        <w:t xml:space="preserve"> </w:t>
      </w:r>
    </w:p>
    <w:p w:rsidR="005C2163" w:rsidRPr="003D7ABC" w:rsidRDefault="009766EF" w:rsidP="003D7ABC">
      <w:pPr>
        <w:spacing w:after="0"/>
        <w:rPr>
          <w:rFonts w:ascii="Arial" w:hAnsi="Arial" w:cs="Arial"/>
          <w:color w:val="0070C0"/>
          <w:sz w:val="20"/>
          <w:szCs w:val="20"/>
        </w:rPr>
      </w:pPr>
      <w:r>
        <w:rPr>
          <w:rFonts w:ascii="Arial" w:hAnsi="Arial" w:cs="Arial"/>
          <w:color w:val="183850" w:themeColor="text1"/>
          <w:sz w:val="20"/>
          <w:szCs w:val="20"/>
        </w:rPr>
        <w:t xml:space="preserve">LPP will produce updated TCFD reporting each year and is committed to extending future disclosure in step with the further development of investment practices on climate change and improvements in </w:t>
      </w:r>
      <w:r>
        <w:rPr>
          <w:rFonts w:ascii="Arial" w:hAnsi="Arial" w:cs="Arial"/>
          <w:color w:val="183850" w:themeColor="text1"/>
          <w:sz w:val="20"/>
          <w:szCs w:val="20"/>
        </w:rPr>
        <w:t>the quality and breadth of information available to give insights on investee companies.</w:t>
      </w:r>
    </w:p>
    <w:p w:rsidR="008869EC" w:rsidRPr="004614CC" w:rsidRDefault="009766EF" w:rsidP="008869EC">
      <w:pPr>
        <w:rPr>
          <w:rFonts w:ascii="Arial" w:hAnsi="Arial" w:cs="Arial"/>
          <w:sz w:val="20"/>
          <w:szCs w:val="20"/>
        </w:rPr>
      </w:pPr>
      <w:r>
        <w:rPr>
          <w:rFonts w:ascii="Arial" w:hAnsi="Arial" w:cs="Arial"/>
          <w:color w:val="183850" w:themeColor="text1"/>
          <w:sz w:val="20"/>
          <w:szCs w:val="20"/>
        </w:rPr>
        <w:t xml:space="preserve"> </w:t>
      </w:r>
    </w:p>
    <w:p w:rsidR="00200CC3" w:rsidRPr="00200CC3" w:rsidRDefault="009766EF" w:rsidP="00281952">
      <w:pPr>
        <w:spacing w:after="0"/>
        <w:rPr>
          <w:rFonts w:ascii="Verdana" w:hAnsi="Verdana"/>
          <w:sz w:val="20"/>
          <w:szCs w:val="20"/>
        </w:rPr>
      </w:pPr>
    </w:p>
    <w:sectPr w:rsidR="00200CC3" w:rsidRPr="00200CC3" w:rsidSect="000533E0">
      <w:footerReference w:type="default" r:id="rId27"/>
      <w:headerReference w:type="first" r:id="rId28"/>
      <w:pgSz w:w="11906" w:h="16838"/>
      <w:pgMar w:top="993"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66EF">
      <w:pPr>
        <w:spacing w:after="0" w:line="240" w:lineRule="auto"/>
      </w:pPr>
      <w:r>
        <w:separator/>
      </w:r>
    </w:p>
  </w:endnote>
  <w:endnote w:type="continuationSeparator" w:id="0">
    <w:p w:rsidR="00000000" w:rsidRDefault="0097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BentonSans Boo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BB" w:rsidRDefault="009766EF">
    <w:pPr>
      <w:pStyle w:val="Footer"/>
    </w:pPr>
  </w:p>
  <w:p w:rsidR="009B02BB" w:rsidRDefault="00976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66EF">
      <w:pPr>
        <w:spacing w:after="0" w:line="240" w:lineRule="auto"/>
      </w:pPr>
      <w:r>
        <w:separator/>
      </w:r>
    </w:p>
  </w:footnote>
  <w:footnote w:type="continuationSeparator" w:id="0">
    <w:p w:rsidR="00000000" w:rsidRDefault="0097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2BB" w:rsidRDefault="009766EF">
    <w:pPr>
      <w:pStyle w:val="Header"/>
    </w:pPr>
    <w:r>
      <w:rPr>
        <w:noProof/>
        <w:lang w:eastAsia="en-GB"/>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94615</wp:posOffset>
          </wp:positionV>
          <wp:extent cx="2152650" cy="1076325"/>
          <wp:effectExtent l="0" t="0" r="0" b="9525"/>
          <wp:wrapSquare wrapText="bothSides"/>
          <wp:docPr id="2" name="Picture 2"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35290" name="Picture 1" descr="C:\Users\sarah.vanson\AppData\Local\Microsoft\Windows\Temporary Internet Files\Content.Word\LPP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2BB" w:rsidRDefault="00976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2380"/>
    <w:multiLevelType w:val="hybridMultilevel"/>
    <w:tmpl w:val="394C9F20"/>
    <w:lvl w:ilvl="0" w:tplc="DA02353A">
      <w:start w:val="1"/>
      <w:numFmt w:val="bullet"/>
      <w:lvlText w:val=""/>
      <w:lvlJc w:val="left"/>
      <w:pPr>
        <w:ind w:left="720" w:hanging="360"/>
      </w:pPr>
      <w:rPr>
        <w:rFonts w:ascii="Symbol" w:hAnsi="Symbol" w:hint="default"/>
      </w:rPr>
    </w:lvl>
    <w:lvl w:ilvl="1" w:tplc="4AF4CCFA" w:tentative="1">
      <w:start w:val="1"/>
      <w:numFmt w:val="bullet"/>
      <w:lvlText w:val="o"/>
      <w:lvlJc w:val="left"/>
      <w:pPr>
        <w:ind w:left="1440" w:hanging="360"/>
      </w:pPr>
      <w:rPr>
        <w:rFonts w:ascii="Courier New" w:hAnsi="Courier New" w:cs="Courier New" w:hint="default"/>
      </w:rPr>
    </w:lvl>
    <w:lvl w:ilvl="2" w:tplc="226A9D72" w:tentative="1">
      <w:start w:val="1"/>
      <w:numFmt w:val="bullet"/>
      <w:lvlText w:val=""/>
      <w:lvlJc w:val="left"/>
      <w:pPr>
        <w:ind w:left="2160" w:hanging="360"/>
      </w:pPr>
      <w:rPr>
        <w:rFonts w:ascii="Wingdings" w:hAnsi="Wingdings" w:hint="default"/>
      </w:rPr>
    </w:lvl>
    <w:lvl w:ilvl="3" w:tplc="844CC998" w:tentative="1">
      <w:start w:val="1"/>
      <w:numFmt w:val="bullet"/>
      <w:lvlText w:val=""/>
      <w:lvlJc w:val="left"/>
      <w:pPr>
        <w:ind w:left="2880" w:hanging="360"/>
      </w:pPr>
      <w:rPr>
        <w:rFonts w:ascii="Symbol" w:hAnsi="Symbol" w:hint="default"/>
      </w:rPr>
    </w:lvl>
    <w:lvl w:ilvl="4" w:tplc="550C133C" w:tentative="1">
      <w:start w:val="1"/>
      <w:numFmt w:val="bullet"/>
      <w:lvlText w:val="o"/>
      <w:lvlJc w:val="left"/>
      <w:pPr>
        <w:ind w:left="3600" w:hanging="360"/>
      </w:pPr>
      <w:rPr>
        <w:rFonts w:ascii="Courier New" w:hAnsi="Courier New" w:cs="Courier New" w:hint="default"/>
      </w:rPr>
    </w:lvl>
    <w:lvl w:ilvl="5" w:tplc="526A449E" w:tentative="1">
      <w:start w:val="1"/>
      <w:numFmt w:val="bullet"/>
      <w:lvlText w:val=""/>
      <w:lvlJc w:val="left"/>
      <w:pPr>
        <w:ind w:left="4320" w:hanging="360"/>
      </w:pPr>
      <w:rPr>
        <w:rFonts w:ascii="Wingdings" w:hAnsi="Wingdings" w:hint="default"/>
      </w:rPr>
    </w:lvl>
    <w:lvl w:ilvl="6" w:tplc="E3166680" w:tentative="1">
      <w:start w:val="1"/>
      <w:numFmt w:val="bullet"/>
      <w:lvlText w:val=""/>
      <w:lvlJc w:val="left"/>
      <w:pPr>
        <w:ind w:left="5040" w:hanging="360"/>
      </w:pPr>
      <w:rPr>
        <w:rFonts w:ascii="Symbol" w:hAnsi="Symbol" w:hint="default"/>
      </w:rPr>
    </w:lvl>
    <w:lvl w:ilvl="7" w:tplc="DDC43D54" w:tentative="1">
      <w:start w:val="1"/>
      <w:numFmt w:val="bullet"/>
      <w:lvlText w:val="o"/>
      <w:lvlJc w:val="left"/>
      <w:pPr>
        <w:ind w:left="5760" w:hanging="360"/>
      </w:pPr>
      <w:rPr>
        <w:rFonts w:ascii="Courier New" w:hAnsi="Courier New" w:cs="Courier New" w:hint="default"/>
      </w:rPr>
    </w:lvl>
    <w:lvl w:ilvl="8" w:tplc="4222A746" w:tentative="1">
      <w:start w:val="1"/>
      <w:numFmt w:val="bullet"/>
      <w:lvlText w:val=""/>
      <w:lvlJc w:val="left"/>
      <w:pPr>
        <w:ind w:left="6480" w:hanging="360"/>
      </w:pPr>
      <w:rPr>
        <w:rFonts w:ascii="Wingdings" w:hAnsi="Wingdings" w:hint="default"/>
      </w:rPr>
    </w:lvl>
  </w:abstractNum>
  <w:abstractNum w:abstractNumId="1" w15:restartNumberingAfterBreak="0">
    <w:nsid w:val="0E6731BD"/>
    <w:multiLevelType w:val="hybridMultilevel"/>
    <w:tmpl w:val="CF8224B2"/>
    <w:lvl w:ilvl="0" w:tplc="6E18FE1C">
      <w:start w:val="1"/>
      <w:numFmt w:val="bullet"/>
      <w:lvlText w:val=""/>
      <w:lvlJc w:val="left"/>
      <w:pPr>
        <w:ind w:left="720" w:hanging="360"/>
      </w:pPr>
      <w:rPr>
        <w:rFonts w:ascii="Symbol" w:hAnsi="Symbol" w:hint="default"/>
      </w:rPr>
    </w:lvl>
    <w:lvl w:ilvl="1" w:tplc="420424E4">
      <w:start w:val="1"/>
      <w:numFmt w:val="bullet"/>
      <w:lvlText w:val="o"/>
      <w:lvlJc w:val="left"/>
      <w:pPr>
        <w:ind w:left="1440" w:hanging="360"/>
      </w:pPr>
      <w:rPr>
        <w:rFonts w:ascii="Courier New" w:hAnsi="Courier New" w:cs="Courier New" w:hint="default"/>
      </w:rPr>
    </w:lvl>
    <w:lvl w:ilvl="2" w:tplc="C27CB8C0" w:tentative="1">
      <w:start w:val="1"/>
      <w:numFmt w:val="bullet"/>
      <w:lvlText w:val=""/>
      <w:lvlJc w:val="left"/>
      <w:pPr>
        <w:ind w:left="2160" w:hanging="360"/>
      </w:pPr>
      <w:rPr>
        <w:rFonts w:ascii="Wingdings" w:hAnsi="Wingdings" w:hint="default"/>
      </w:rPr>
    </w:lvl>
    <w:lvl w:ilvl="3" w:tplc="1B560B06" w:tentative="1">
      <w:start w:val="1"/>
      <w:numFmt w:val="bullet"/>
      <w:lvlText w:val=""/>
      <w:lvlJc w:val="left"/>
      <w:pPr>
        <w:ind w:left="2880" w:hanging="360"/>
      </w:pPr>
      <w:rPr>
        <w:rFonts w:ascii="Symbol" w:hAnsi="Symbol" w:hint="default"/>
      </w:rPr>
    </w:lvl>
    <w:lvl w:ilvl="4" w:tplc="495A6860" w:tentative="1">
      <w:start w:val="1"/>
      <w:numFmt w:val="bullet"/>
      <w:lvlText w:val="o"/>
      <w:lvlJc w:val="left"/>
      <w:pPr>
        <w:ind w:left="3600" w:hanging="360"/>
      </w:pPr>
      <w:rPr>
        <w:rFonts w:ascii="Courier New" w:hAnsi="Courier New" w:cs="Courier New" w:hint="default"/>
      </w:rPr>
    </w:lvl>
    <w:lvl w:ilvl="5" w:tplc="96BAC6AA" w:tentative="1">
      <w:start w:val="1"/>
      <w:numFmt w:val="bullet"/>
      <w:lvlText w:val=""/>
      <w:lvlJc w:val="left"/>
      <w:pPr>
        <w:ind w:left="4320" w:hanging="360"/>
      </w:pPr>
      <w:rPr>
        <w:rFonts w:ascii="Wingdings" w:hAnsi="Wingdings" w:hint="default"/>
      </w:rPr>
    </w:lvl>
    <w:lvl w:ilvl="6" w:tplc="2392E3E2" w:tentative="1">
      <w:start w:val="1"/>
      <w:numFmt w:val="bullet"/>
      <w:lvlText w:val=""/>
      <w:lvlJc w:val="left"/>
      <w:pPr>
        <w:ind w:left="5040" w:hanging="360"/>
      </w:pPr>
      <w:rPr>
        <w:rFonts w:ascii="Symbol" w:hAnsi="Symbol" w:hint="default"/>
      </w:rPr>
    </w:lvl>
    <w:lvl w:ilvl="7" w:tplc="0518C07C" w:tentative="1">
      <w:start w:val="1"/>
      <w:numFmt w:val="bullet"/>
      <w:lvlText w:val="o"/>
      <w:lvlJc w:val="left"/>
      <w:pPr>
        <w:ind w:left="5760" w:hanging="360"/>
      </w:pPr>
      <w:rPr>
        <w:rFonts w:ascii="Courier New" w:hAnsi="Courier New" w:cs="Courier New" w:hint="default"/>
      </w:rPr>
    </w:lvl>
    <w:lvl w:ilvl="8" w:tplc="001EBC4C" w:tentative="1">
      <w:start w:val="1"/>
      <w:numFmt w:val="bullet"/>
      <w:lvlText w:val=""/>
      <w:lvlJc w:val="left"/>
      <w:pPr>
        <w:ind w:left="6480" w:hanging="360"/>
      </w:pPr>
      <w:rPr>
        <w:rFonts w:ascii="Wingdings" w:hAnsi="Wingdings" w:hint="default"/>
      </w:rPr>
    </w:lvl>
  </w:abstractNum>
  <w:abstractNum w:abstractNumId="2" w15:restartNumberingAfterBreak="0">
    <w:nsid w:val="16514DF9"/>
    <w:multiLevelType w:val="hybridMultilevel"/>
    <w:tmpl w:val="12BCF3CC"/>
    <w:lvl w:ilvl="0" w:tplc="173807AC">
      <w:start w:val="1"/>
      <w:numFmt w:val="bullet"/>
      <w:lvlText w:val=""/>
      <w:lvlJc w:val="left"/>
      <w:pPr>
        <w:ind w:left="720" w:hanging="360"/>
      </w:pPr>
      <w:rPr>
        <w:rFonts w:ascii="Symbol" w:hAnsi="Symbol" w:hint="default"/>
      </w:rPr>
    </w:lvl>
    <w:lvl w:ilvl="1" w:tplc="BDF28448" w:tentative="1">
      <w:start w:val="1"/>
      <w:numFmt w:val="bullet"/>
      <w:lvlText w:val="o"/>
      <w:lvlJc w:val="left"/>
      <w:pPr>
        <w:ind w:left="1440" w:hanging="360"/>
      </w:pPr>
      <w:rPr>
        <w:rFonts w:ascii="Courier New" w:hAnsi="Courier New" w:cs="Courier New" w:hint="default"/>
      </w:rPr>
    </w:lvl>
    <w:lvl w:ilvl="2" w:tplc="29E836C8" w:tentative="1">
      <w:start w:val="1"/>
      <w:numFmt w:val="bullet"/>
      <w:lvlText w:val=""/>
      <w:lvlJc w:val="left"/>
      <w:pPr>
        <w:ind w:left="2160" w:hanging="360"/>
      </w:pPr>
      <w:rPr>
        <w:rFonts w:ascii="Wingdings" w:hAnsi="Wingdings" w:hint="default"/>
      </w:rPr>
    </w:lvl>
    <w:lvl w:ilvl="3" w:tplc="054A5804" w:tentative="1">
      <w:start w:val="1"/>
      <w:numFmt w:val="bullet"/>
      <w:lvlText w:val=""/>
      <w:lvlJc w:val="left"/>
      <w:pPr>
        <w:ind w:left="2880" w:hanging="360"/>
      </w:pPr>
      <w:rPr>
        <w:rFonts w:ascii="Symbol" w:hAnsi="Symbol" w:hint="default"/>
      </w:rPr>
    </w:lvl>
    <w:lvl w:ilvl="4" w:tplc="27DA3C80" w:tentative="1">
      <w:start w:val="1"/>
      <w:numFmt w:val="bullet"/>
      <w:lvlText w:val="o"/>
      <w:lvlJc w:val="left"/>
      <w:pPr>
        <w:ind w:left="3600" w:hanging="360"/>
      </w:pPr>
      <w:rPr>
        <w:rFonts w:ascii="Courier New" w:hAnsi="Courier New" w:cs="Courier New" w:hint="default"/>
      </w:rPr>
    </w:lvl>
    <w:lvl w:ilvl="5" w:tplc="7D52221C" w:tentative="1">
      <w:start w:val="1"/>
      <w:numFmt w:val="bullet"/>
      <w:lvlText w:val=""/>
      <w:lvlJc w:val="left"/>
      <w:pPr>
        <w:ind w:left="4320" w:hanging="360"/>
      </w:pPr>
      <w:rPr>
        <w:rFonts w:ascii="Wingdings" w:hAnsi="Wingdings" w:hint="default"/>
      </w:rPr>
    </w:lvl>
    <w:lvl w:ilvl="6" w:tplc="095C83BC" w:tentative="1">
      <w:start w:val="1"/>
      <w:numFmt w:val="bullet"/>
      <w:lvlText w:val=""/>
      <w:lvlJc w:val="left"/>
      <w:pPr>
        <w:ind w:left="5040" w:hanging="360"/>
      </w:pPr>
      <w:rPr>
        <w:rFonts w:ascii="Symbol" w:hAnsi="Symbol" w:hint="default"/>
      </w:rPr>
    </w:lvl>
    <w:lvl w:ilvl="7" w:tplc="44EC789C" w:tentative="1">
      <w:start w:val="1"/>
      <w:numFmt w:val="bullet"/>
      <w:lvlText w:val="o"/>
      <w:lvlJc w:val="left"/>
      <w:pPr>
        <w:ind w:left="5760" w:hanging="360"/>
      </w:pPr>
      <w:rPr>
        <w:rFonts w:ascii="Courier New" w:hAnsi="Courier New" w:cs="Courier New" w:hint="default"/>
      </w:rPr>
    </w:lvl>
    <w:lvl w:ilvl="8" w:tplc="6402FF36" w:tentative="1">
      <w:start w:val="1"/>
      <w:numFmt w:val="bullet"/>
      <w:lvlText w:val=""/>
      <w:lvlJc w:val="left"/>
      <w:pPr>
        <w:ind w:left="6480" w:hanging="360"/>
      </w:pPr>
      <w:rPr>
        <w:rFonts w:ascii="Wingdings" w:hAnsi="Wingdings" w:hint="default"/>
      </w:rPr>
    </w:lvl>
  </w:abstractNum>
  <w:abstractNum w:abstractNumId="3" w15:restartNumberingAfterBreak="0">
    <w:nsid w:val="1A444BBF"/>
    <w:multiLevelType w:val="hybridMultilevel"/>
    <w:tmpl w:val="6A84AB34"/>
    <w:lvl w:ilvl="0" w:tplc="B374E4B6">
      <w:start w:val="1"/>
      <w:numFmt w:val="decimal"/>
      <w:pStyle w:val="treb"/>
      <w:lvlText w:val="%1."/>
      <w:lvlJc w:val="left"/>
      <w:pPr>
        <w:ind w:left="720" w:hanging="360"/>
      </w:pPr>
      <w:rPr>
        <w:rFonts w:hint="default"/>
      </w:rPr>
    </w:lvl>
    <w:lvl w:ilvl="1" w:tplc="A07058EE" w:tentative="1">
      <w:start w:val="1"/>
      <w:numFmt w:val="lowerLetter"/>
      <w:lvlText w:val="%2."/>
      <w:lvlJc w:val="left"/>
      <w:pPr>
        <w:ind w:left="1440" w:hanging="360"/>
      </w:pPr>
    </w:lvl>
    <w:lvl w:ilvl="2" w:tplc="1E6C5976" w:tentative="1">
      <w:start w:val="1"/>
      <w:numFmt w:val="lowerRoman"/>
      <w:lvlText w:val="%3."/>
      <w:lvlJc w:val="right"/>
      <w:pPr>
        <w:ind w:left="2160" w:hanging="180"/>
      </w:pPr>
    </w:lvl>
    <w:lvl w:ilvl="3" w:tplc="8C0C24CC" w:tentative="1">
      <w:start w:val="1"/>
      <w:numFmt w:val="decimal"/>
      <w:lvlText w:val="%4."/>
      <w:lvlJc w:val="left"/>
      <w:pPr>
        <w:ind w:left="2880" w:hanging="360"/>
      </w:pPr>
    </w:lvl>
    <w:lvl w:ilvl="4" w:tplc="30802784" w:tentative="1">
      <w:start w:val="1"/>
      <w:numFmt w:val="lowerLetter"/>
      <w:lvlText w:val="%5."/>
      <w:lvlJc w:val="left"/>
      <w:pPr>
        <w:ind w:left="3600" w:hanging="360"/>
      </w:pPr>
    </w:lvl>
    <w:lvl w:ilvl="5" w:tplc="7E24AADC" w:tentative="1">
      <w:start w:val="1"/>
      <w:numFmt w:val="lowerRoman"/>
      <w:lvlText w:val="%6."/>
      <w:lvlJc w:val="right"/>
      <w:pPr>
        <w:ind w:left="4320" w:hanging="180"/>
      </w:pPr>
    </w:lvl>
    <w:lvl w:ilvl="6" w:tplc="3DEABCBA" w:tentative="1">
      <w:start w:val="1"/>
      <w:numFmt w:val="decimal"/>
      <w:lvlText w:val="%7."/>
      <w:lvlJc w:val="left"/>
      <w:pPr>
        <w:ind w:left="5040" w:hanging="360"/>
      </w:pPr>
    </w:lvl>
    <w:lvl w:ilvl="7" w:tplc="C88AE942" w:tentative="1">
      <w:start w:val="1"/>
      <w:numFmt w:val="lowerLetter"/>
      <w:lvlText w:val="%8."/>
      <w:lvlJc w:val="left"/>
      <w:pPr>
        <w:ind w:left="5760" w:hanging="360"/>
      </w:pPr>
    </w:lvl>
    <w:lvl w:ilvl="8" w:tplc="42A2AEBC" w:tentative="1">
      <w:start w:val="1"/>
      <w:numFmt w:val="lowerRoman"/>
      <w:lvlText w:val="%9."/>
      <w:lvlJc w:val="right"/>
      <w:pPr>
        <w:ind w:left="6480" w:hanging="180"/>
      </w:pPr>
    </w:lvl>
  </w:abstractNum>
  <w:abstractNum w:abstractNumId="4" w15:restartNumberingAfterBreak="0">
    <w:nsid w:val="1E4D2CDD"/>
    <w:multiLevelType w:val="hybridMultilevel"/>
    <w:tmpl w:val="CA1AD732"/>
    <w:lvl w:ilvl="0" w:tplc="4FA84588">
      <w:start w:val="1"/>
      <w:numFmt w:val="bullet"/>
      <w:lvlText w:val=""/>
      <w:lvlJc w:val="left"/>
      <w:pPr>
        <w:ind w:left="720" w:hanging="360"/>
      </w:pPr>
      <w:rPr>
        <w:rFonts w:ascii="Symbol" w:hAnsi="Symbol" w:hint="default"/>
      </w:rPr>
    </w:lvl>
    <w:lvl w:ilvl="1" w:tplc="D63A1600" w:tentative="1">
      <w:start w:val="1"/>
      <w:numFmt w:val="bullet"/>
      <w:lvlText w:val="o"/>
      <w:lvlJc w:val="left"/>
      <w:pPr>
        <w:ind w:left="1440" w:hanging="360"/>
      </w:pPr>
      <w:rPr>
        <w:rFonts w:ascii="Courier New" w:hAnsi="Courier New" w:cs="Courier New" w:hint="default"/>
      </w:rPr>
    </w:lvl>
    <w:lvl w:ilvl="2" w:tplc="67E40EF6" w:tentative="1">
      <w:start w:val="1"/>
      <w:numFmt w:val="bullet"/>
      <w:lvlText w:val=""/>
      <w:lvlJc w:val="left"/>
      <w:pPr>
        <w:ind w:left="2160" w:hanging="360"/>
      </w:pPr>
      <w:rPr>
        <w:rFonts w:ascii="Wingdings" w:hAnsi="Wingdings" w:hint="default"/>
      </w:rPr>
    </w:lvl>
    <w:lvl w:ilvl="3" w:tplc="3B44FFD0" w:tentative="1">
      <w:start w:val="1"/>
      <w:numFmt w:val="bullet"/>
      <w:lvlText w:val=""/>
      <w:lvlJc w:val="left"/>
      <w:pPr>
        <w:ind w:left="2880" w:hanging="360"/>
      </w:pPr>
      <w:rPr>
        <w:rFonts w:ascii="Symbol" w:hAnsi="Symbol" w:hint="default"/>
      </w:rPr>
    </w:lvl>
    <w:lvl w:ilvl="4" w:tplc="6C44DAD6" w:tentative="1">
      <w:start w:val="1"/>
      <w:numFmt w:val="bullet"/>
      <w:lvlText w:val="o"/>
      <w:lvlJc w:val="left"/>
      <w:pPr>
        <w:ind w:left="3600" w:hanging="360"/>
      </w:pPr>
      <w:rPr>
        <w:rFonts w:ascii="Courier New" w:hAnsi="Courier New" w:cs="Courier New" w:hint="default"/>
      </w:rPr>
    </w:lvl>
    <w:lvl w:ilvl="5" w:tplc="D444DD20" w:tentative="1">
      <w:start w:val="1"/>
      <w:numFmt w:val="bullet"/>
      <w:lvlText w:val=""/>
      <w:lvlJc w:val="left"/>
      <w:pPr>
        <w:ind w:left="4320" w:hanging="360"/>
      </w:pPr>
      <w:rPr>
        <w:rFonts w:ascii="Wingdings" w:hAnsi="Wingdings" w:hint="default"/>
      </w:rPr>
    </w:lvl>
    <w:lvl w:ilvl="6" w:tplc="D0B0A188" w:tentative="1">
      <w:start w:val="1"/>
      <w:numFmt w:val="bullet"/>
      <w:lvlText w:val=""/>
      <w:lvlJc w:val="left"/>
      <w:pPr>
        <w:ind w:left="5040" w:hanging="360"/>
      </w:pPr>
      <w:rPr>
        <w:rFonts w:ascii="Symbol" w:hAnsi="Symbol" w:hint="default"/>
      </w:rPr>
    </w:lvl>
    <w:lvl w:ilvl="7" w:tplc="79AC1A2E" w:tentative="1">
      <w:start w:val="1"/>
      <w:numFmt w:val="bullet"/>
      <w:lvlText w:val="o"/>
      <w:lvlJc w:val="left"/>
      <w:pPr>
        <w:ind w:left="5760" w:hanging="360"/>
      </w:pPr>
      <w:rPr>
        <w:rFonts w:ascii="Courier New" w:hAnsi="Courier New" w:cs="Courier New" w:hint="default"/>
      </w:rPr>
    </w:lvl>
    <w:lvl w:ilvl="8" w:tplc="AC5CE580" w:tentative="1">
      <w:start w:val="1"/>
      <w:numFmt w:val="bullet"/>
      <w:lvlText w:val=""/>
      <w:lvlJc w:val="left"/>
      <w:pPr>
        <w:ind w:left="6480" w:hanging="360"/>
      </w:pPr>
      <w:rPr>
        <w:rFonts w:ascii="Wingdings" w:hAnsi="Wingdings" w:hint="default"/>
      </w:rPr>
    </w:lvl>
  </w:abstractNum>
  <w:abstractNum w:abstractNumId="5" w15:restartNumberingAfterBreak="0">
    <w:nsid w:val="204110DF"/>
    <w:multiLevelType w:val="hybridMultilevel"/>
    <w:tmpl w:val="DEBEA064"/>
    <w:lvl w:ilvl="0" w:tplc="2938A1B4">
      <w:start w:val="1"/>
      <w:numFmt w:val="bullet"/>
      <w:lvlText w:val=""/>
      <w:lvlJc w:val="left"/>
      <w:pPr>
        <w:ind w:left="720" w:hanging="360"/>
      </w:pPr>
      <w:rPr>
        <w:rFonts w:ascii="Symbol" w:hAnsi="Symbol" w:hint="default"/>
      </w:rPr>
    </w:lvl>
    <w:lvl w:ilvl="1" w:tplc="165AE9B6" w:tentative="1">
      <w:start w:val="1"/>
      <w:numFmt w:val="bullet"/>
      <w:lvlText w:val="o"/>
      <w:lvlJc w:val="left"/>
      <w:pPr>
        <w:ind w:left="1440" w:hanging="360"/>
      </w:pPr>
      <w:rPr>
        <w:rFonts w:ascii="Courier New" w:hAnsi="Courier New" w:cs="Courier New" w:hint="default"/>
      </w:rPr>
    </w:lvl>
    <w:lvl w:ilvl="2" w:tplc="A53C9948" w:tentative="1">
      <w:start w:val="1"/>
      <w:numFmt w:val="bullet"/>
      <w:lvlText w:val=""/>
      <w:lvlJc w:val="left"/>
      <w:pPr>
        <w:ind w:left="2160" w:hanging="360"/>
      </w:pPr>
      <w:rPr>
        <w:rFonts w:ascii="Wingdings" w:hAnsi="Wingdings" w:hint="default"/>
      </w:rPr>
    </w:lvl>
    <w:lvl w:ilvl="3" w:tplc="08668392" w:tentative="1">
      <w:start w:val="1"/>
      <w:numFmt w:val="bullet"/>
      <w:lvlText w:val=""/>
      <w:lvlJc w:val="left"/>
      <w:pPr>
        <w:ind w:left="2880" w:hanging="360"/>
      </w:pPr>
      <w:rPr>
        <w:rFonts w:ascii="Symbol" w:hAnsi="Symbol" w:hint="default"/>
      </w:rPr>
    </w:lvl>
    <w:lvl w:ilvl="4" w:tplc="17FA577A" w:tentative="1">
      <w:start w:val="1"/>
      <w:numFmt w:val="bullet"/>
      <w:lvlText w:val="o"/>
      <w:lvlJc w:val="left"/>
      <w:pPr>
        <w:ind w:left="3600" w:hanging="360"/>
      </w:pPr>
      <w:rPr>
        <w:rFonts w:ascii="Courier New" w:hAnsi="Courier New" w:cs="Courier New" w:hint="default"/>
      </w:rPr>
    </w:lvl>
    <w:lvl w:ilvl="5" w:tplc="4A7E2F78" w:tentative="1">
      <w:start w:val="1"/>
      <w:numFmt w:val="bullet"/>
      <w:lvlText w:val=""/>
      <w:lvlJc w:val="left"/>
      <w:pPr>
        <w:ind w:left="4320" w:hanging="360"/>
      </w:pPr>
      <w:rPr>
        <w:rFonts w:ascii="Wingdings" w:hAnsi="Wingdings" w:hint="default"/>
      </w:rPr>
    </w:lvl>
    <w:lvl w:ilvl="6" w:tplc="95AC7AAA" w:tentative="1">
      <w:start w:val="1"/>
      <w:numFmt w:val="bullet"/>
      <w:lvlText w:val=""/>
      <w:lvlJc w:val="left"/>
      <w:pPr>
        <w:ind w:left="5040" w:hanging="360"/>
      </w:pPr>
      <w:rPr>
        <w:rFonts w:ascii="Symbol" w:hAnsi="Symbol" w:hint="default"/>
      </w:rPr>
    </w:lvl>
    <w:lvl w:ilvl="7" w:tplc="4AEE0C46" w:tentative="1">
      <w:start w:val="1"/>
      <w:numFmt w:val="bullet"/>
      <w:lvlText w:val="o"/>
      <w:lvlJc w:val="left"/>
      <w:pPr>
        <w:ind w:left="5760" w:hanging="360"/>
      </w:pPr>
      <w:rPr>
        <w:rFonts w:ascii="Courier New" w:hAnsi="Courier New" w:cs="Courier New" w:hint="default"/>
      </w:rPr>
    </w:lvl>
    <w:lvl w:ilvl="8" w:tplc="5064735E" w:tentative="1">
      <w:start w:val="1"/>
      <w:numFmt w:val="bullet"/>
      <w:lvlText w:val=""/>
      <w:lvlJc w:val="left"/>
      <w:pPr>
        <w:ind w:left="6480" w:hanging="360"/>
      </w:pPr>
      <w:rPr>
        <w:rFonts w:ascii="Wingdings" w:hAnsi="Wingdings" w:hint="default"/>
      </w:rPr>
    </w:lvl>
  </w:abstractNum>
  <w:abstractNum w:abstractNumId="6" w15:restartNumberingAfterBreak="0">
    <w:nsid w:val="2F4A5E66"/>
    <w:multiLevelType w:val="hybridMultilevel"/>
    <w:tmpl w:val="53A65DCE"/>
    <w:lvl w:ilvl="0" w:tplc="18FCEEBA">
      <w:start w:val="1"/>
      <w:numFmt w:val="bullet"/>
      <w:lvlText w:val=""/>
      <w:lvlJc w:val="left"/>
      <w:pPr>
        <w:ind w:left="720" w:hanging="360"/>
      </w:pPr>
      <w:rPr>
        <w:rFonts w:ascii="Symbol" w:hAnsi="Symbol" w:hint="default"/>
      </w:rPr>
    </w:lvl>
    <w:lvl w:ilvl="1" w:tplc="19169EC8">
      <w:start w:val="1"/>
      <w:numFmt w:val="bullet"/>
      <w:lvlText w:val="o"/>
      <w:lvlJc w:val="left"/>
      <w:pPr>
        <w:ind w:left="1440" w:hanging="360"/>
      </w:pPr>
      <w:rPr>
        <w:rFonts w:ascii="Courier New" w:hAnsi="Courier New" w:cs="Courier New" w:hint="default"/>
      </w:rPr>
    </w:lvl>
    <w:lvl w:ilvl="2" w:tplc="FA5680CE" w:tentative="1">
      <w:start w:val="1"/>
      <w:numFmt w:val="bullet"/>
      <w:lvlText w:val=""/>
      <w:lvlJc w:val="left"/>
      <w:pPr>
        <w:ind w:left="2160" w:hanging="360"/>
      </w:pPr>
      <w:rPr>
        <w:rFonts w:ascii="Wingdings" w:hAnsi="Wingdings" w:hint="default"/>
      </w:rPr>
    </w:lvl>
    <w:lvl w:ilvl="3" w:tplc="06D2189A" w:tentative="1">
      <w:start w:val="1"/>
      <w:numFmt w:val="bullet"/>
      <w:lvlText w:val=""/>
      <w:lvlJc w:val="left"/>
      <w:pPr>
        <w:ind w:left="2880" w:hanging="360"/>
      </w:pPr>
      <w:rPr>
        <w:rFonts w:ascii="Symbol" w:hAnsi="Symbol" w:hint="default"/>
      </w:rPr>
    </w:lvl>
    <w:lvl w:ilvl="4" w:tplc="35CC5BE4" w:tentative="1">
      <w:start w:val="1"/>
      <w:numFmt w:val="bullet"/>
      <w:lvlText w:val="o"/>
      <w:lvlJc w:val="left"/>
      <w:pPr>
        <w:ind w:left="3600" w:hanging="360"/>
      </w:pPr>
      <w:rPr>
        <w:rFonts w:ascii="Courier New" w:hAnsi="Courier New" w:cs="Courier New" w:hint="default"/>
      </w:rPr>
    </w:lvl>
    <w:lvl w:ilvl="5" w:tplc="AA3AE03E" w:tentative="1">
      <w:start w:val="1"/>
      <w:numFmt w:val="bullet"/>
      <w:lvlText w:val=""/>
      <w:lvlJc w:val="left"/>
      <w:pPr>
        <w:ind w:left="4320" w:hanging="360"/>
      </w:pPr>
      <w:rPr>
        <w:rFonts w:ascii="Wingdings" w:hAnsi="Wingdings" w:hint="default"/>
      </w:rPr>
    </w:lvl>
    <w:lvl w:ilvl="6" w:tplc="66A4F8D2" w:tentative="1">
      <w:start w:val="1"/>
      <w:numFmt w:val="bullet"/>
      <w:lvlText w:val=""/>
      <w:lvlJc w:val="left"/>
      <w:pPr>
        <w:ind w:left="5040" w:hanging="360"/>
      </w:pPr>
      <w:rPr>
        <w:rFonts w:ascii="Symbol" w:hAnsi="Symbol" w:hint="default"/>
      </w:rPr>
    </w:lvl>
    <w:lvl w:ilvl="7" w:tplc="44806D46" w:tentative="1">
      <w:start w:val="1"/>
      <w:numFmt w:val="bullet"/>
      <w:lvlText w:val="o"/>
      <w:lvlJc w:val="left"/>
      <w:pPr>
        <w:ind w:left="5760" w:hanging="360"/>
      </w:pPr>
      <w:rPr>
        <w:rFonts w:ascii="Courier New" w:hAnsi="Courier New" w:cs="Courier New" w:hint="default"/>
      </w:rPr>
    </w:lvl>
    <w:lvl w:ilvl="8" w:tplc="B1942420" w:tentative="1">
      <w:start w:val="1"/>
      <w:numFmt w:val="bullet"/>
      <w:lvlText w:val=""/>
      <w:lvlJc w:val="left"/>
      <w:pPr>
        <w:ind w:left="6480" w:hanging="360"/>
      </w:pPr>
      <w:rPr>
        <w:rFonts w:ascii="Wingdings" w:hAnsi="Wingdings" w:hint="default"/>
      </w:rPr>
    </w:lvl>
  </w:abstractNum>
  <w:abstractNum w:abstractNumId="7" w15:restartNumberingAfterBreak="0">
    <w:nsid w:val="3395215C"/>
    <w:multiLevelType w:val="hybridMultilevel"/>
    <w:tmpl w:val="F93E7B0A"/>
    <w:lvl w:ilvl="0" w:tplc="5FE6534E">
      <w:start w:val="1"/>
      <w:numFmt w:val="bullet"/>
      <w:lvlText w:val=""/>
      <w:lvlJc w:val="left"/>
      <w:pPr>
        <w:ind w:left="720" w:hanging="360"/>
      </w:pPr>
      <w:rPr>
        <w:rFonts w:ascii="Symbol" w:hAnsi="Symbol" w:hint="default"/>
      </w:rPr>
    </w:lvl>
    <w:lvl w:ilvl="1" w:tplc="30A6AF2E" w:tentative="1">
      <w:start w:val="1"/>
      <w:numFmt w:val="bullet"/>
      <w:lvlText w:val="o"/>
      <w:lvlJc w:val="left"/>
      <w:pPr>
        <w:ind w:left="1440" w:hanging="360"/>
      </w:pPr>
      <w:rPr>
        <w:rFonts w:ascii="Courier New" w:hAnsi="Courier New" w:cs="Courier New" w:hint="default"/>
      </w:rPr>
    </w:lvl>
    <w:lvl w:ilvl="2" w:tplc="E816437C" w:tentative="1">
      <w:start w:val="1"/>
      <w:numFmt w:val="bullet"/>
      <w:lvlText w:val=""/>
      <w:lvlJc w:val="left"/>
      <w:pPr>
        <w:ind w:left="2160" w:hanging="360"/>
      </w:pPr>
      <w:rPr>
        <w:rFonts w:ascii="Wingdings" w:hAnsi="Wingdings" w:hint="default"/>
      </w:rPr>
    </w:lvl>
    <w:lvl w:ilvl="3" w:tplc="4CF4B9CE" w:tentative="1">
      <w:start w:val="1"/>
      <w:numFmt w:val="bullet"/>
      <w:lvlText w:val=""/>
      <w:lvlJc w:val="left"/>
      <w:pPr>
        <w:ind w:left="2880" w:hanging="360"/>
      </w:pPr>
      <w:rPr>
        <w:rFonts w:ascii="Symbol" w:hAnsi="Symbol" w:hint="default"/>
      </w:rPr>
    </w:lvl>
    <w:lvl w:ilvl="4" w:tplc="B75483DA" w:tentative="1">
      <w:start w:val="1"/>
      <w:numFmt w:val="bullet"/>
      <w:lvlText w:val="o"/>
      <w:lvlJc w:val="left"/>
      <w:pPr>
        <w:ind w:left="3600" w:hanging="360"/>
      </w:pPr>
      <w:rPr>
        <w:rFonts w:ascii="Courier New" w:hAnsi="Courier New" w:cs="Courier New" w:hint="default"/>
      </w:rPr>
    </w:lvl>
    <w:lvl w:ilvl="5" w:tplc="CE52AC7C" w:tentative="1">
      <w:start w:val="1"/>
      <w:numFmt w:val="bullet"/>
      <w:lvlText w:val=""/>
      <w:lvlJc w:val="left"/>
      <w:pPr>
        <w:ind w:left="4320" w:hanging="360"/>
      </w:pPr>
      <w:rPr>
        <w:rFonts w:ascii="Wingdings" w:hAnsi="Wingdings" w:hint="default"/>
      </w:rPr>
    </w:lvl>
    <w:lvl w:ilvl="6" w:tplc="7F2E8E00" w:tentative="1">
      <w:start w:val="1"/>
      <w:numFmt w:val="bullet"/>
      <w:lvlText w:val=""/>
      <w:lvlJc w:val="left"/>
      <w:pPr>
        <w:ind w:left="5040" w:hanging="360"/>
      </w:pPr>
      <w:rPr>
        <w:rFonts w:ascii="Symbol" w:hAnsi="Symbol" w:hint="default"/>
      </w:rPr>
    </w:lvl>
    <w:lvl w:ilvl="7" w:tplc="0362068C" w:tentative="1">
      <w:start w:val="1"/>
      <w:numFmt w:val="bullet"/>
      <w:lvlText w:val="o"/>
      <w:lvlJc w:val="left"/>
      <w:pPr>
        <w:ind w:left="5760" w:hanging="360"/>
      </w:pPr>
      <w:rPr>
        <w:rFonts w:ascii="Courier New" w:hAnsi="Courier New" w:cs="Courier New" w:hint="default"/>
      </w:rPr>
    </w:lvl>
    <w:lvl w:ilvl="8" w:tplc="986252CA" w:tentative="1">
      <w:start w:val="1"/>
      <w:numFmt w:val="bullet"/>
      <w:lvlText w:val=""/>
      <w:lvlJc w:val="left"/>
      <w:pPr>
        <w:ind w:left="6480" w:hanging="360"/>
      </w:pPr>
      <w:rPr>
        <w:rFonts w:ascii="Wingdings" w:hAnsi="Wingdings" w:hint="default"/>
      </w:rPr>
    </w:lvl>
  </w:abstractNum>
  <w:abstractNum w:abstractNumId="8" w15:restartNumberingAfterBreak="0">
    <w:nsid w:val="41121C39"/>
    <w:multiLevelType w:val="multilevel"/>
    <w:tmpl w:val="F27C0598"/>
    <w:lvl w:ilvl="0">
      <w:start w:val="1"/>
      <w:numFmt w:val="none"/>
      <w:pStyle w:val="LPPBodytext"/>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29E6D36"/>
    <w:multiLevelType w:val="hybridMultilevel"/>
    <w:tmpl w:val="0EBA61DC"/>
    <w:lvl w:ilvl="0" w:tplc="139ED98A">
      <w:start w:val="1"/>
      <w:numFmt w:val="bullet"/>
      <w:lvlText w:val=""/>
      <w:lvlJc w:val="left"/>
      <w:pPr>
        <w:ind w:left="720" w:hanging="360"/>
      </w:pPr>
      <w:rPr>
        <w:rFonts w:ascii="Symbol" w:hAnsi="Symbol" w:hint="default"/>
      </w:rPr>
    </w:lvl>
    <w:lvl w:ilvl="1" w:tplc="29949900" w:tentative="1">
      <w:start w:val="1"/>
      <w:numFmt w:val="bullet"/>
      <w:lvlText w:val="o"/>
      <w:lvlJc w:val="left"/>
      <w:pPr>
        <w:ind w:left="1440" w:hanging="360"/>
      </w:pPr>
      <w:rPr>
        <w:rFonts w:ascii="Courier New" w:hAnsi="Courier New" w:cs="Courier New" w:hint="default"/>
      </w:rPr>
    </w:lvl>
    <w:lvl w:ilvl="2" w:tplc="21446E96" w:tentative="1">
      <w:start w:val="1"/>
      <w:numFmt w:val="bullet"/>
      <w:lvlText w:val=""/>
      <w:lvlJc w:val="left"/>
      <w:pPr>
        <w:ind w:left="2160" w:hanging="360"/>
      </w:pPr>
      <w:rPr>
        <w:rFonts w:ascii="Wingdings" w:hAnsi="Wingdings" w:hint="default"/>
      </w:rPr>
    </w:lvl>
    <w:lvl w:ilvl="3" w:tplc="F2C2BAD0" w:tentative="1">
      <w:start w:val="1"/>
      <w:numFmt w:val="bullet"/>
      <w:lvlText w:val=""/>
      <w:lvlJc w:val="left"/>
      <w:pPr>
        <w:ind w:left="2880" w:hanging="360"/>
      </w:pPr>
      <w:rPr>
        <w:rFonts w:ascii="Symbol" w:hAnsi="Symbol" w:hint="default"/>
      </w:rPr>
    </w:lvl>
    <w:lvl w:ilvl="4" w:tplc="4F528AB8" w:tentative="1">
      <w:start w:val="1"/>
      <w:numFmt w:val="bullet"/>
      <w:lvlText w:val="o"/>
      <w:lvlJc w:val="left"/>
      <w:pPr>
        <w:ind w:left="3600" w:hanging="360"/>
      </w:pPr>
      <w:rPr>
        <w:rFonts w:ascii="Courier New" w:hAnsi="Courier New" w:cs="Courier New" w:hint="default"/>
      </w:rPr>
    </w:lvl>
    <w:lvl w:ilvl="5" w:tplc="4B9CF64A" w:tentative="1">
      <w:start w:val="1"/>
      <w:numFmt w:val="bullet"/>
      <w:lvlText w:val=""/>
      <w:lvlJc w:val="left"/>
      <w:pPr>
        <w:ind w:left="4320" w:hanging="360"/>
      </w:pPr>
      <w:rPr>
        <w:rFonts w:ascii="Wingdings" w:hAnsi="Wingdings" w:hint="default"/>
      </w:rPr>
    </w:lvl>
    <w:lvl w:ilvl="6" w:tplc="3C120B72" w:tentative="1">
      <w:start w:val="1"/>
      <w:numFmt w:val="bullet"/>
      <w:lvlText w:val=""/>
      <w:lvlJc w:val="left"/>
      <w:pPr>
        <w:ind w:left="5040" w:hanging="360"/>
      </w:pPr>
      <w:rPr>
        <w:rFonts w:ascii="Symbol" w:hAnsi="Symbol" w:hint="default"/>
      </w:rPr>
    </w:lvl>
    <w:lvl w:ilvl="7" w:tplc="80524284" w:tentative="1">
      <w:start w:val="1"/>
      <w:numFmt w:val="bullet"/>
      <w:lvlText w:val="o"/>
      <w:lvlJc w:val="left"/>
      <w:pPr>
        <w:ind w:left="5760" w:hanging="360"/>
      </w:pPr>
      <w:rPr>
        <w:rFonts w:ascii="Courier New" w:hAnsi="Courier New" w:cs="Courier New" w:hint="default"/>
      </w:rPr>
    </w:lvl>
    <w:lvl w:ilvl="8" w:tplc="36246D32" w:tentative="1">
      <w:start w:val="1"/>
      <w:numFmt w:val="bullet"/>
      <w:lvlText w:val=""/>
      <w:lvlJc w:val="left"/>
      <w:pPr>
        <w:ind w:left="6480" w:hanging="360"/>
      </w:pPr>
      <w:rPr>
        <w:rFonts w:ascii="Wingdings" w:hAnsi="Wingdings" w:hint="default"/>
      </w:rPr>
    </w:lvl>
  </w:abstractNum>
  <w:abstractNum w:abstractNumId="10" w15:restartNumberingAfterBreak="0">
    <w:nsid w:val="48633676"/>
    <w:multiLevelType w:val="hybridMultilevel"/>
    <w:tmpl w:val="CCDCB8A0"/>
    <w:lvl w:ilvl="0" w:tplc="1C809F9E">
      <w:start w:val="1"/>
      <w:numFmt w:val="decimal"/>
      <w:lvlText w:val="%1)"/>
      <w:lvlJc w:val="left"/>
      <w:pPr>
        <w:ind w:left="360" w:hanging="360"/>
      </w:pPr>
      <w:rPr>
        <w:rFonts w:hint="default"/>
      </w:rPr>
    </w:lvl>
    <w:lvl w:ilvl="1" w:tplc="F954ABFC" w:tentative="1">
      <w:start w:val="1"/>
      <w:numFmt w:val="lowerLetter"/>
      <w:lvlText w:val="%2."/>
      <w:lvlJc w:val="left"/>
      <w:pPr>
        <w:ind w:left="1080" w:hanging="360"/>
      </w:pPr>
    </w:lvl>
    <w:lvl w:ilvl="2" w:tplc="594C13BC" w:tentative="1">
      <w:start w:val="1"/>
      <w:numFmt w:val="lowerRoman"/>
      <w:lvlText w:val="%3."/>
      <w:lvlJc w:val="right"/>
      <w:pPr>
        <w:ind w:left="1800" w:hanging="180"/>
      </w:pPr>
    </w:lvl>
    <w:lvl w:ilvl="3" w:tplc="698484C0" w:tentative="1">
      <w:start w:val="1"/>
      <w:numFmt w:val="decimal"/>
      <w:lvlText w:val="%4."/>
      <w:lvlJc w:val="left"/>
      <w:pPr>
        <w:ind w:left="2520" w:hanging="360"/>
      </w:pPr>
    </w:lvl>
    <w:lvl w:ilvl="4" w:tplc="30F0ACCE" w:tentative="1">
      <w:start w:val="1"/>
      <w:numFmt w:val="lowerLetter"/>
      <w:lvlText w:val="%5."/>
      <w:lvlJc w:val="left"/>
      <w:pPr>
        <w:ind w:left="3240" w:hanging="360"/>
      </w:pPr>
    </w:lvl>
    <w:lvl w:ilvl="5" w:tplc="CA3A8C18" w:tentative="1">
      <w:start w:val="1"/>
      <w:numFmt w:val="lowerRoman"/>
      <w:lvlText w:val="%6."/>
      <w:lvlJc w:val="right"/>
      <w:pPr>
        <w:ind w:left="3960" w:hanging="180"/>
      </w:pPr>
    </w:lvl>
    <w:lvl w:ilvl="6" w:tplc="EE9C7356" w:tentative="1">
      <w:start w:val="1"/>
      <w:numFmt w:val="decimal"/>
      <w:lvlText w:val="%7."/>
      <w:lvlJc w:val="left"/>
      <w:pPr>
        <w:ind w:left="4680" w:hanging="360"/>
      </w:pPr>
    </w:lvl>
    <w:lvl w:ilvl="7" w:tplc="344A6936" w:tentative="1">
      <w:start w:val="1"/>
      <w:numFmt w:val="lowerLetter"/>
      <w:lvlText w:val="%8."/>
      <w:lvlJc w:val="left"/>
      <w:pPr>
        <w:ind w:left="5400" w:hanging="360"/>
      </w:pPr>
    </w:lvl>
    <w:lvl w:ilvl="8" w:tplc="9B3E3644" w:tentative="1">
      <w:start w:val="1"/>
      <w:numFmt w:val="lowerRoman"/>
      <w:lvlText w:val="%9."/>
      <w:lvlJc w:val="right"/>
      <w:pPr>
        <w:ind w:left="6120" w:hanging="180"/>
      </w:pPr>
    </w:lvl>
  </w:abstractNum>
  <w:abstractNum w:abstractNumId="11" w15:restartNumberingAfterBreak="0">
    <w:nsid w:val="48B915C0"/>
    <w:multiLevelType w:val="multilevel"/>
    <w:tmpl w:val="4D0C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394E2A"/>
    <w:multiLevelType w:val="multilevel"/>
    <w:tmpl w:val="F2427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4631BC"/>
    <w:multiLevelType w:val="hybridMultilevel"/>
    <w:tmpl w:val="728A788A"/>
    <w:lvl w:ilvl="0" w:tplc="9EFE26C4">
      <w:start w:val="1"/>
      <w:numFmt w:val="bullet"/>
      <w:lvlText w:val=""/>
      <w:lvlJc w:val="left"/>
      <w:pPr>
        <w:ind w:left="720" w:hanging="360"/>
      </w:pPr>
      <w:rPr>
        <w:rFonts w:ascii="Symbol" w:hAnsi="Symbol" w:hint="default"/>
      </w:rPr>
    </w:lvl>
    <w:lvl w:ilvl="1" w:tplc="926CE146" w:tentative="1">
      <w:start w:val="1"/>
      <w:numFmt w:val="lowerLetter"/>
      <w:lvlText w:val="%2."/>
      <w:lvlJc w:val="left"/>
      <w:pPr>
        <w:ind w:left="1440" w:hanging="360"/>
      </w:pPr>
    </w:lvl>
    <w:lvl w:ilvl="2" w:tplc="C2C459E4" w:tentative="1">
      <w:start w:val="1"/>
      <w:numFmt w:val="lowerRoman"/>
      <w:lvlText w:val="%3."/>
      <w:lvlJc w:val="right"/>
      <w:pPr>
        <w:ind w:left="2160" w:hanging="180"/>
      </w:pPr>
    </w:lvl>
    <w:lvl w:ilvl="3" w:tplc="D16E1EF0" w:tentative="1">
      <w:start w:val="1"/>
      <w:numFmt w:val="decimal"/>
      <w:lvlText w:val="%4."/>
      <w:lvlJc w:val="left"/>
      <w:pPr>
        <w:ind w:left="2880" w:hanging="360"/>
      </w:pPr>
    </w:lvl>
    <w:lvl w:ilvl="4" w:tplc="41E8E202" w:tentative="1">
      <w:start w:val="1"/>
      <w:numFmt w:val="lowerLetter"/>
      <w:lvlText w:val="%5."/>
      <w:lvlJc w:val="left"/>
      <w:pPr>
        <w:ind w:left="3600" w:hanging="360"/>
      </w:pPr>
    </w:lvl>
    <w:lvl w:ilvl="5" w:tplc="ECFE6A1C" w:tentative="1">
      <w:start w:val="1"/>
      <w:numFmt w:val="lowerRoman"/>
      <w:lvlText w:val="%6."/>
      <w:lvlJc w:val="right"/>
      <w:pPr>
        <w:ind w:left="4320" w:hanging="180"/>
      </w:pPr>
    </w:lvl>
    <w:lvl w:ilvl="6" w:tplc="213A130E" w:tentative="1">
      <w:start w:val="1"/>
      <w:numFmt w:val="decimal"/>
      <w:lvlText w:val="%7."/>
      <w:lvlJc w:val="left"/>
      <w:pPr>
        <w:ind w:left="5040" w:hanging="360"/>
      </w:pPr>
    </w:lvl>
    <w:lvl w:ilvl="7" w:tplc="556C6036" w:tentative="1">
      <w:start w:val="1"/>
      <w:numFmt w:val="lowerLetter"/>
      <w:lvlText w:val="%8."/>
      <w:lvlJc w:val="left"/>
      <w:pPr>
        <w:ind w:left="5760" w:hanging="360"/>
      </w:pPr>
    </w:lvl>
    <w:lvl w:ilvl="8" w:tplc="675EEC86" w:tentative="1">
      <w:start w:val="1"/>
      <w:numFmt w:val="lowerRoman"/>
      <w:lvlText w:val="%9."/>
      <w:lvlJc w:val="right"/>
      <w:pPr>
        <w:ind w:left="6480" w:hanging="180"/>
      </w:pPr>
    </w:lvl>
  </w:abstractNum>
  <w:abstractNum w:abstractNumId="14" w15:restartNumberingAfterBreak="0">
    <w:nsid w:val="70CA4D2C"/>
    <w:multiLevelType w:val="hybridMultilevel"/>
    <w:tmpl w:val="FBD4B2D0"/>
    <w:lvl w:ilvl="0" w:tplc="AF909E22">
      <w:start w:val="1"/>
      <w:numFmt w:val="bullet"/>
      <w:lvlText w:val=""/>
      <w:lvlJc w:val="left"/>
      <w:pPr>
        <w:ind w:left="720" w:hanging="360"/>
      </w:pPr>
      <w:rPr>
        <w:rFonts w:ascii="Symbol" w:hAnsi="Symbol" w:hint="default"/>
      </w:rPr>
    </w:lvl>
    <w:lvl w:ilvl="1" w:tplc="1D4EC480" w:tentative="1">
      <w:start w:val="1"/>
      <w:numFmt w:val="bullet"/>
      <w:lvlText w:val="o"/>
      <w:lvlJc w:val="left"/>
      <w:pPr>
        <w:ind w:left="1440" w:hanging="360"/>
      </w:pPr>
      <w:rPr>
        <w:rFonts w:ascii="Courier New" w:hAnsi="Courier New" w:cs="Courier New" w:hint="default"/>
      </w:rPr>
    </w:lvl>
    <w:lvl w:ilvl="2" w:tplc="1E2CEB66" w:tentative="1">
      <w:start w:val="1"/>
      <w:numFmt w:val="bullet"/>
      <w:lvlText w:val=""/>
      <w:lvlJc w:val="left"/>
      <w:pPr>
        <w:ind w:left="2160" w:hanging="360"/>
      </w:pPr>
      <w:rPr>
        <w:rFonts w:ascii="Wingdings" w:hAnsi="Wingdings" w:hint="default"/>
      </w:rPr>
    </w:lvl>
    <w:lvl w:ilvl="3" w:tplc="49AEFFF4" w:tentative="1">
      <w:start w:val="1"/>
      <w:numFmt w:val="bullet"/>
      <w:lvlText w:val=""/>
      <w:lvlJc w:val="left"/>
      <w:pPr>
        <w:ind w:left="2880" w:hanging="360"/>
      </w:pPr>
      <w:rPr>
        <w:rFonts w:ascii="Symbol" w:hAnsi="Symbol" w:hint="default"/>
      </w:rPr>
    </w:lvl>
    <w:lvl w:ilvl="4" w:tplc="EFD8E3FC" w:tentative="1">
      <w:start w:val="1"/>
      <w:numFmt w:val="bullet"/>
      <w:lvlText w:val="o"/>
      <w:lvlJc w:val="left"/>
      <w:pPr>
        <w:ind w:left="3600" w:hanging="360"/>
      </w:pPr>
      <w:rPr>
        <w:rFonts w:ascii="Courier New" w:hAnsi="Courier New" w:cs="Courier New" w:hint="default"/>
      </w:rPr>
    </w:lvl>
    <w:lvl w:ilvl="5" w:tplc="F55C7F46" w:tentative="1">
      <w:start w:val="1"/>
      <w:numFmt w:val="bullet"/>
      <w:lvlText w:val=""/>
      <w:lvlJc w:val="left"/>
      <w:pPr>
        <w:ind w:left="4320" w:hanging="360"/>
      </w:pPr>
      <w:rPr>
        <w:rFonts w:ascii="Wingdings" w:hAnsi="Wingdings" w:hint="default"/>
      </w:rPr>
    </w:lvl>
    <w:lvl w:ilvl="6" w:tplc="38AEBCB6" w:tentative="1">
      <w:start w:val="1"/>
      <w:numFmt w:val="bullet"/>
      <w:lvlText w:val=""/>
      <w:lvlJc w:val="left"/>
      <w:pPr>
        <w:ind w:left="5040" w:hanging="360"/>
      </w:pPr>
      <w:rPr>
        <w:rFonts w:ascii="Symbol" w:hAnsi="Symbol" w:hint="default"/>
      </w:rPr>
    </w:lvl>
    <w:lvl w:ilvl="7" w:tplc="2D46517E" w:tentative="1">
      <w:start w:val="1"/>
      <w:numFmt w:val="bullet"/>
      <w:lvlText w:val="o"/>
      <w:lvlJc w:val="left"/>
      <w:pPr>
        <w:ind w:left="5760" w:hanging="360"/>
      </w:pPr>
      <w:rPr>
        <w:rFonts w:ascii="Courier New" w:hAnsi="Courier New" w:cs="Courier New" w:hint="default"/>
      </w:rPr>
    </w:lvl>
    <w:lvl w:ilvl="8" w:tplc="D658ADBA" w:tentative="1">
      <w:start w:val="1"/>
      <w:numFmt w:val="bullet"/>
      <w:lvlText w:val=""/>
      <w:lvlJc w:val="left"/>
      <w:pPr>
        <w:ind w:left="6480" w:hanging="360"/>
      </w:pPr>
      <w:rPr>
        <w:rFonts w:ascii="Wingdings" w:hAnsi="Wingdings" w:hint="default"/>
      </w:rPr>
    </w:lvl>
  </w:abstractNum>
  <w:abstractNum w:abstractNumId="15" w15:restartNumberingAfterBreak="0">
    <w:nsid w:val="75DD0325"/>
    <w:multiLevelType w:val="hybridMultilevel"/>
    <w:tmpl w:val="CD0AADBA"/>
    <w:lvl w:ilvl="0" w:tplc="EB8C10A6">
      <w:start w:val="1"/>
      <w:numFmt w:val="decimal"/>
      <w:lvlText w:val="%1."/>
      <w:lvlJc w:val="left"/>
      <w:pPr>
        <w:ind w:left="720" w:hanging="360"/>
      </w:pPr>
    </w:lvl>
    <w:lvl w:ilvl="1" w:tplc="2682C846" w:tentative="1">
      <w:start w:val="1"/>
      <w:numFmt w:val="lowerLetter"/>
      <w:lvlText w:val="%2."/>
      <w:lvlJc w:val="left"/>
      <w:pPr>
        <w:ind w:left="1440" w:hanging="360"/>
      </w:pPr>
    </w:lvl>
    <w:lvl w:ilvl="2" w:tplc="DC6EFBA4" w:tentative="1">
      <w:start w:val="1"/>
      <w:numFmt w:val="lowerRoman"/>
      <w:lvlText w:val="%3."/>
      <w:lvlJc w:val="right"/>
      <w:pPr>
        <w:ind w:left="2160" w:hanging="180"/>
      </w:pPr>
    </w:lvl>
    <w:lvl w:ilvl="3" w:tplc="706EA120" w:tentative="1">
      <w:start w:val="1"/>
      <w:numFmt w:val="decimal"/>
      <w:lvlText w:val="%4."/>
      <w:lvlJc w:val="left"/>
      <w:pPr>
        <w:ind w:left="2880" w:hanging="360"/>
      </w:pPr>
    </w:lvl>
    <w:lvl w:ilvl="4" w:tplc="D60C069A" w:tentative="1">
      <w:start w:val="1"/>
      <w:numFmt w:val="lowerLetter"/>
      <w:lvlText w:val="%5."/>
      <w:lvlJc w:val="left"/>
      <w:pPr>
        <w:ind w:left="3600" w:hanging="360"/>
      </w:pPr>
    </w:lvl>
    <w:lvl w:ilvl="5" w:tplc="AE884C34" w:tentative="1">
      <w:start w:val="1"/>
      <w:numFmt w:val="lowerRoman"/>
      <w:lvlText w:val="%6."/>
      <w:lvlJc w:val="right"/>
      <w:pPr>
        <w:ind w:left="4320" w:hanging="180"/>
      </w:pPr>
    </w:lvl>
    <w:lvl w:ilvl="6" w:tplc="BD526CBC" w:tentative="1">
      <w:start w:val="1"/>
      <w:numFmt w:val="decimal"/>
      <w:lvlText w:val="%7."/>
      <w:lvlJc w:val="left"/>
      <w:pPr>
        <w:ind w:left="5040" w:hanging="360"/>
      </w:pPr>
    </w:lvl>
    <w:lvl w:ilvl="7" w:tplc="EE68B676" w:tentative="1">
      <w:start w:val="1"/>
      <w:numFmt w:val="lowerLetter"/>
      <w:lvlText w:val="%8."/>
      <w:lvlJc w:val="left"/>
      <w:pPr>
        <w:ind w:left="5760" w:hanging="360"/>
      </w:pPr>
    </w:lvl>
    <w:lvl w:ilvl="8" w:tplc="4BA43C8E" w:tentative="1">
      <w:start w:val="1"/>
      <w:numFmt w:val="lowerRoman"/>
      <w:lvlText w:val="%9."/>
      <w:lvlJc w:val="right"/>
      <w:pPr>
        <w:ind w:left="6480" w:hanging="180"/>
      </w:pPr>
    </w:lvl>
  </w:abstractNum>
  <w:abstractNum w:abstractNumId="16" w15:restartNumberingAfterBreak="0">
    <w:nsid w:val="7FF769C9"/>
    <w:multiLevelType w:val="hybridMultilevel"/>
    <w:tmpl w:val="A64C4B74"/>
    <w:lvl w:ilvl="0" w:tplc="25C6914C">
      <w:start w:val="1"/>
      <w:numFmt w:val="bullet"/>
      <w:lvlText w:val=""/>
      <w:lvlJc w:val="left"/>
      <w:pPr>
        <w:ind w:left="720" w:hanging="360"/>
      </w:pPr>
      <w:rPr>
        <w:rFonts w:ascii="Symbol" w:hAnsi="Symbol" w:hint="default"/>
      </w:rPr>
    </w:lvl>
    <w:lvl w:ilvl="1" w:tplc="7D4075E4" w:tentative="1">
      <w:start w:val="1"/>
      <w:numFmt w:val="bullet"/>
      <w:lvlText w:val="o"/>
      <w:lvlJc w:val="left"/>
      <w:pPr>
        <w:ind w:left="1440" w:hanging="360"/>
      </w:pPr>
      <w:rPr>
        <w:rFonts w:ascii="Courier New" w:hAnsi="Courier New" w:cs="Courier New" w:hint="default"/>
      </w:rPr>
    </w:lvl>
    <w:lvl w:ilvl="2" w:tplc="1C400552" w:tentative="1">
      <w:start w:val="1"/>
      <w:numFmt w:val="bullet"/>
      <w:lvlText w:val=""/>
      <w:lvlJc w:val="left"/>
      <w:pPr>
        <w:ind w:left="2160" w:hanging="360"/>
      </w:pPr>
      <w:rPr>
        <w:rFonts w:ascii="Wingdings" w:hAnsi="Wingdings" w:hint="default"/>
      </w:rPr>
    </w:lvl>
    <w:lvl w:ilvl="3" w:tplc="6706D526" w:tentative="1">
      <w:start w:val="1"/>
      <w:numFmt w:val="bullet"/>
      <w:lvlText w:val=""/>
      <w:lvlJc w:val="left"/>
      <w:pPr>
        <w:ind w:left="2880" w:hanging="360"/>
      </w:pPr>
      <w:rPr>
        <w:rFonts w:ascii="Symbol" w:hAnsi="Symbol" w:hint="default"/>
      </w:rPr>
    </w:lvl>
    <w:lvl w:ilvl="4" w:tplc="B1BAC098" w:tentative="1">
      <w:start w:val="1"/>
      <w:numFmt w:val="bullet"/>
      <w:lvlText w:val="o"/>
      <w:lvlJc w:val="left"/>
      <w:pPr>
        <w:ind w:left="3600" w:hanging="360"/>
      </w:pPr>
      <w:rPr>
        <w:rFonts w:ascii="Courier New" w:hAnsi="Courier New" w:cs="Courier New" w:hint="default"/>
      </w:rPr>
    </w:lvl>
    <w:lvl w:ilvl="5" w:tplc="2C3C78EE" w:tentative="1">
      <w:start w:val="1"/>
      <w:numFmt w:val="bullet"/>
      <w:lvlText w:val=""/>
      <w:lvlJc w:val="left"/>
      <w:pPr>
        <w:ind w:left="4320" w:hanging="360"/>
      </w:pPr>
      <w:rPr>
        <w:rFonts w:ascii="Wingdings" w:hAnsi="Wingdings" w:hint="default"/>
      </w:rPr>
    </w:lvl>
    <w:lvl w:ilvl="6" w:tplc="E326B420" w:tentative="1">
      <w:start w:val="1"/>
      <w:numFmt w:val="bullet"/>
      <w:lvlText w:val=""/>
      <w:lvlJc w:val="left"/>
      <w:pPr>
        <w:ind w:left="5040" w:hanging="360"/>
      </w:pPr>
      <w:rPr>
        <w:rFonts w:ascii="Symbol" w:hAnsi="Symbol" w:hint="default"/>
      </w:rPr>
    </w:lvl>
    <w:lvl w:ilvl="7" w:tplc="B78E3B14" w:tentative="1">
      <w:start w:val="1"/>
      <w:numFmt w:val="bullet"/>
      <w:lvlText w:val="o"/>
      <w:lvlJc w:val="left"/>
      <w:pPr>
        <w:ind w:left="5760" w:hanging="360"/>
      </w:pPr>
      <w:rPr>
        <w:rFonts w:ascii="Courier New" w:hAnsi="Courier New" w:cs="Courier New" w:hint="default"/>
      </w:rPr>
    </w:lvl>
    <w:lvl w:ilvl="8" w:tplc="E14EF87E"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num>
  <w:num w:numId="4">
    <w:abstractNumId w:val="0"/>
  </w:num>
  <w:num w:numId="5">
    <w:abstractNumId w:val="3"/>
  </w:num>
  <w:num w:numId="6">
    <w:abstractNumId w:val="16"/>
  </w:num>
  <w:num w:numId="7">
    <w:abstractNumId w:val="8"/>
  </w:num>
  <w:num w:numId="8">
    <w:abstractNumId w:val="6"/>
  </w:num>
  <w:num w:numId="9">
    <w:abstractNumId w:val="8"/>
  </w:num>
  <w:num w:numId="10">
    <w:abstractNumId w:val="1"/>
  </w:num>
  <w:num w:numId="11">
    <w:abstractNumId w:val="3"/>
  </w:num>
  <w:num w:numId="12">
    <w:abstractNumId w:val="3"/>
  </w:num>
  <w:num w:numId="13">
    <w:abstractNumId w:val="3"/>
  </w:num>
  <w:num w:numId="14">
    <w:abstractNumId w:val="13"/>
  </w:num>
  <w:num w:numId="15">
    <w:abstractNumId w:val="10"/>
  </w:num>
  <w:num w:numId="16">
    <w:abstractNumId w:val="12"/>
  </w:num>
  <w:num w:numId="17">
    <w:abstractNumId w:val="5"/>
  </w:num>
  <w:num w:numId="18">
    <w:abstractNumId w:val="11"/>
  </w:num>
  <w:num w:numId="19">
    <w:abstractNumId w:val="2"/>
  </w:num>
  <w:num w:numId="20">
    <w:abstractNumId w:val="7"/>
  </w:num>
  <w:num w:numId="21">
    <w:abstractNumId w:val="14"/>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43"/>
    <w:rsid w:val="00041B43"/>
    <w:rsid w:val="0097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D9596-99F3-4732-A6D5-82F49094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18"/>
  </w:style>
  <w:style w:type="paragraph" w:styleId="Heading1">
    <w:name w:val="heading 1"/>
    <w:basedOn w:val="Normal"/>
    <w:next w:val="Normal"/>
    <w:link w:val="Heading1Char"/>
    <w:qFormat/>
    <w:rsid w:val="009C39E5"/>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791E35"/>
    <w:pPr>
      <w:keepNext/>
      <w:keepLines/>
      <w:spacing w:before="40" w:after="0"/>
      <w:outlineLvl w:val="3"/>
    </w:pPr>
    <w:rPr>
      <w:rFonts w:asciiTheme="majorHAnsi" w:eastAsiaTheme="majorEastAsia" w:hAnsiTheme="majorHAnsi" w:cstheme="majorBidi"/>
      <w:i/>
      <w:iCs/>
      <w:color w:val="2BADEC" w:themeColor="accent1" w:themeShade="BF"/>
    </w:rPr>
  </w:style>
  <w:style w:type="paragraph" w:styleId="Heading5">
    <w:name w:val="heading 5"/>
    <w:basedOn w:val="Normal"/>
    <w:next w:val="Normal"/>
    <w:link w:val="Heading5Char"/>
    <w:qFormat/>
    <w:rsid w:val="00CC692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C7FB6"/>
    <w:pPr>
      <w:ind w:left="720"/>
      <w:contextualSpacing/>
    </w:pPr>
  </w:style>
  <w:style w:type="character" w:customStyle="1" w:styleId="Heading5Char">
    <w:name w:val="Heading 5 Char"/>
    <w:basedOn w:val="DefaultParagraphFont"/>
    <w:link w:val="Heading5"/>
    <w:rsid w:val="00CC6923"/>
    <w:rPr>
      <w:rFonts w:ascii="CG Omega" w:eastAsia="Times New Roman" w:hAnsi="CG Omega" w:cs="Times New Roman"/>
      <w:b/>
      <w:szCs w:val="20"/>
    </w:rPr>
  </w:style>
  <w:style w:type="character" w:customStyle="1" w:styleId="Fontsize">
    <w:name w:val="Font &amp; size"/>
    <w:basedOn w:val="DefaultParagraphFont"/>
    <w:rsid w:val="00CC6923"/>
    <w:rPr>
      <w:rFonts w:ascii="CG Omega" w:hAnsi="CG Omega"/>
      <w:sz w:val="22"/>
    </w:rPr>
  </w:style>
  <w:style w:type="paragraph" w:styleId="Title">
    <w:name w:val="Title"/>
    <w:basedOn w:val="Normal"/>
    <w:link w:val="TitleChar"/>
    <w:qFormat/>
    <w:rsid w:val="00A268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68E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7F"/>
  </w:style>
  <w:style w:type="paragraph" w:styleId="Footer">
    <w:name w:val="footer"/>
    <w:basedOn w:val="Normal"/>
    <w:link w:val="FooterChar"/>
    <w:uiPriority w:val="99"/>
    <w:unhideWhenUsed/>
    <w:rsid w:val="008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7F"/>
  </w:style>
  <w:style w:type="paragraph" w:styleId="BalloonText">
    <w:name w:val="Balloon Text"/>
    <w:basedOn w:val="Normal"/>
    <w:link w:val="BalloonTextChar"/>
    <w:uiPriority w:val="99"/>
    <w:semiHidden/>
    <w:unhideWhenUsed/>
    <w:rsid w:val="008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7F"/>
    <w:rPr>
      <w:rFonts w:ascii="Tahoma" w:hAnsi="Tahoma" w:cs="Tahoma"/>
      <w:sz w:val="16"/>
      <w:szCs w:val="16"/>
    </w:rPr>
  </w:style>
  <w:style w:type="character" w:customStyle="1" w:styleId="subparatext">
    <w:name w:val="subparatext"/>
    <w:basedOn w:val="DefaultParagraphFont"/>
    <w:uiPriority w:val="99"/>
    <w:rsid w:val="00320885"/>
    <w:rPr>
      <w:rFonts w:cs="Times New Roman"/>
    </w:rPr>
  </w:style>
  <w:style w:type="paragraph" w:customStyle="1" w:styleId="Default">
    <w:name w:val="Default"/>
    <w:rsid w:val="00320885"/>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1Char">
    <w:name w:val="Heading 1 Char"/>
    <w:basedOn w:val="DefaultParagraphFont"/>
    <w:link w:val="Heading1"/>
    <w:rsid w:val="009C39E5"/>
    <w:rPr>
      <w:rFonts w:ascii="Arial" w:eastAsia="Times New Roman" w:hAnsi="Arial" w:cs="Arial"/>
      <w:b/>
      <w:bCs/>
      <w:kern w:val="32"/>
      <w:sz w:val="32"/>
      <w:szCs w:val="32"/>
    </w:rPr>
  </w:style>
  <w:style w:type="paragraph" w:customStyle="1" w:styleId="treb">
    <w:name w:val="treb"/>
    <w:basedOn w:val="ListParagraph"/>
    <w:link w:val="trebChar"/>
    <w:qFormat/>
    <w:rsid w:val="00E92BCB"/>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rsid w:val="00E92BCB"/>
  </w:style>
  <w:style w:type="character" w:customStyle="1" w:styleId="trebChar">
    <w:name w:val="treb Char"/>
    <w:basedOn w:val="ListParagraphChar"/>
    <w:link w:val="treb"/>
    <w:rsid w:val="00E92BCB"/>
    <w:rPr>
      <w:rFonts w:ascii="Trebuchet MS" w:hAnsi="Trebuchet MS" w:cs="Arial"/>
      <w:b/>
      <w:bCs/>
    </w:rPr>
  </w:style>
  <w:style w:type="table" w:styleId="TableGrid">
    <w:name w:val="Table Grid"/>
    <w:basedOn w:val="TableNormal"/>
    <w:rsid w:val="0019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7BA3"/>
    <w:rPr>
      <w:color w:val="FFFFFF" w:themeColor="hyperlink"/>
      <w:u w:val="single"/>
    </w:rPr>
  </w:style>
  <w:style w:type="paragraph" w:styleId="BodyText">
    <w:name w:val="Body Text"/>
    <w:basedOn w:val="Normal"/>
    <w:link w:val="BodyTextChar"/>
    <w:semiHidden/>
    <w:unhideWhenUsed/>
    <w:rsid w:val="00F7154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F71543"/>
    <w:rPr>
      <w:rFonts w:ascii="Palatino" w:eastAsia="Times New Roman" w:hAnsi="Palatino" w:cs="Times New Roman"/>
      <w:sz w:val="20"/>
      <w:szCs w:val="20"/>
    </w:rPr>
  </w:style>
  <w:style w:type="character" w:customStyle="1" w:styleId="st1">
    <w:name w:val="st1"/>
    <w:basedOn w:val="DefaultParagraphFont"/>
    <w:rsid w:val="007200A7"/>
  </w:style>
  <w:style w:type="character" w:customStyle="1" w:styleId="Heading4Char">
    <w:name w:val="Heading 4 Char"/>
    <w:basedOn w:val="DefaultParagraphFont"/>
    <w:link w:val="Heading4"/>
    <w:uiPriority w:val="9"/>
    <w:rsid w:val="00791E35"/>
    <w:rPr>
      <w:rFonts w:asciiTheme="majorHAnsi" w:eastAsiaTheme="majorEastAsia" w:hAnsiTheme="majorHAnsi" w:cstheme="majorBidi"/>
      <w:i/>
      <w:iCs/>
      <w:color w:val="2BADEC" w:themeColor="accent1" w:themeShade="BF"/>
    </w:rPr>
  </w:style>
  <w:style w:type="character" w:styleId="Emphasis">
    <w:name w:val="Emphasis"/>
    <w:basedOn w:val="DefaultParagraphFont"/>
    <w:uiPriority w:val="20"/>
    <w:qFormat/>
    <w:rsid w:val="00747B19"/>
    <w:rPr>
      <w:b/>
      <w:bCs/>
      <w:i w:val="0"/>
      <w:iCs w:val="0"/>
    </w:rPr>
  </w:style>
  <w:style w:type="character" w:styleId="FollowedHyperlink">
    <w:name w:val="FollowedHyperlink"/>
    <w:basedOn w:val="DefaultParagraphFont"/>
    <w:uiPriority w:val="99"/>
    <w:semiHidden/>
    <w:unhideWhenUsed/>
    <w:rsid w:val="00A255B5"/>
    <w:rPr>
      <w:color w:val="FFFFFF" w:themeColor="followedHyperlink"/>
      <w:u w:val="single"/>
    </w:rPr>
  </w:style>
  <w:style w:type="paragraph" w:styleId="NormalWeb">
    <w:name w:val="Normal (Web)"/>
    <w:basedOn w:val="Normal"/>
    <w:uiPriority w:val="99"/>
    <w:unhideWhenUsed/>
    <w:rsid w:val="00C53B25"/>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7BBF"/>
    <w:rPr>
      <w:sz w:val="16"/>
      <w:szCs w:val="16"/>
    </w:rPr>
  </w:style>
  <w:style w:type="paragraph" w:styleId="CommentText">
    <w:name w:val="annotation text"/>
    <w:basedOn w:val="Normal"/>
    <w:link w:val="CommentTextChar"/>
    <w:uiPriority w:val="99"/>
    <w:semiHidden/>
    <w:unhideWhenUsed/>
    <w:rsid w:val="00E07BBF"/>
    <w:pPr>
      <w:spacing w:line="240" w:lineRule="auto"/>
    </w:pPr>
    <w:rPr>
      <w:sz w:val="20"/>
      <w:szCs w:val="20"/>
    </w:rPr>
  </w:style>
  <w:style w:type="character" w:customStyle="1" w:styleId="CommentTextChar">
    <w:name w:val="Comment Text Char"/>
    <w:basedOn w:val="DefaultParagraphFont"/>
    <w:link w:val="CommentText"/>
    <w:uiPriority w:val="99"/>
    <w:semiHidden/>
    <w:rsid w:val="00E07BBF"/>
    <w:rPr>
      <w:sz w:val="20"/>
      <w:szCs w:val="20"/>
    </w:rPr>
  </w:style>
  <w:style w:type="paragraph" w:styleId="CommentSubject">
    <w:name w:val="annotation subject"/>
    <w:basedOn w:val="CommentText"/>
    <w:next w:val="CommentText"/>
    <w:link w:val="CommentSubjectChar"/>
    <w:uiPriority w:val="99"/>
    <w:semiHidden/>
    <w:unhideWhenUsed/>
    <w:rsid w:val="00E07BBF"/>
    <w:rPr>
      <w:b/>
      <w:bCs/>
    </w:rPr>
  </w:style>
  <w:style w:type="character" w:customStyle="1" w:styleId="CommentSubjectChar">
    <w:name w:val="Comment Subject Char"/>
    <w:basedOn w:val="CommentTextChar"/>
    <w:link w:val="CommentSubject"/>
    <w:uiPriority w:val="99"/>
    <w:semiHidden/>
    <w:rsid w:val="00E07BBF"/>
    <w:rPr>
      <w:b/>
      <w:bCs/>
      <w:sz w:val="20"/>
      <w:szCs w:val="20"/>
    </w:rPr>
  </w:style>
  <w:style w:type="character" w:customStyle="1" w:styleId="UnresolvedMention">
    <w:name w:val="Unresolved Mention"/>
    <w:basedOn w:val="DefaultParagraphFont"/>
    <w:uiPriority w:val="99"/>
    <w:semiHidden/>
    <w:unhideWhenUsed/>
    <w:rsid w:val="00011376"/>
    <w:rPr>
      <w:color w:val="808080"/>
      <w:shd w:val="clear" w:color="auto" w:fill="E6E6E6"/>
    </w:rPr>
  </w:style>
  <w:style w:type="character" w:customStyle="1" w:styleId="BodyCopyChar">
    <w:name w:val="Body Copy Char"/>
    <w:basedOn w:val="DefaultParagraphFont"/>
    <w:link w:val="BodyCopy"/>
    <w:locked/>
    <w:rsid w:val="00177D2D"/>
    <w:rPr>
      <w:rFonts w:ascii="BentonSans Book" w:hAnsi="BentonSans Book"/>
    </w:rPr>
  </w:style>
  <w:style w:type="paragraph" w:customStyle="1" w:styleId="BodyCopy">
    <w:name w:val="Body Copy"/>
    <w:basedOn w:val="Normal"/>
    <w:link w:val="BodyCopyChar"/>
    <w:rsid w:val="00177D2D"/>
    <w:pPr>
      <w:spacing w:after="0" w:line="280" w:lineRule="atLeast"/>
    </w:pPr>
    <w:rPr>
      <w:rFonts w:ascii="BentonSans Book" w:hAnsi="BentonSans Book"/>
    </w:rPr>
  </w:style>
  <w:style w:type="character" w:customStyle="1" w:styleId="geninfoval1">
    <w:name w:val="geninfoval1"/>
    <w:basedOn w:val="DefaultParagraphFont"/>
    <w:rsid w:val="004032C9"/>
    <w:rPr>
      <w:sz w:val="18"/>
      <w:szCs w:val="18"/>
    </w:rPr>
  </w:style>
  <w:style w:type="paragraph" w:customStyle="1" w:styleId="LPPBodytext">
    <w:name w:val="LPP Body text"/>
    <w:basedOn w:val="Normal"/>
    <w:link w:val="LPPBodytextChar"/>
    <w:qFormat/>
    <w:rsid w:val="008706D6"/>
    <w:pPr>
      <w:numPr>
        <w:numId w:val="7"/>
      </w:numPr>
      <w:tabs>
        <w:tab w:val="left" w:pos="1843"/>
        <w:tab w:val="left" w:pos="3119"/>
        <w:tab w:val="left" w:pos="4253"/>
      </w:tabs>
      <w:spacing w:after="0" w:line="280" w:lineRule="exact"/>
      <w:jc w:val="both"/>
    </w:pPr>
    <w:rPr>
      <w:rFonts w:ascii="Verdana" w:eastAsia="Times New Roman" w:hAnsi="Verdana" w:cs="Times New Roman"/>
      <w:spacing w:val="-6"/>
      <w:sz w:val="20"/>
      <w:szCs w:val="18"/>
      <w:lang w:val="en-US" w:eastAsia="zh-CN"/>
    </w:rPr>
  </w:style>
  <w:style w:type="character" w:customStyle="1" w:styleId="LPPBodytextChar">
    <w:name w:val="LPP Body text Char"/>
    <w:basedOn w:val="DefaultParagraphFont"/>
    <w:link w:val="LPPBodytext"/>
    <w:rsid w:val="008706D6"/>
    <w:rPr>
      <w:rFonts w:ascii="Verdana" w:eastAsia="Times New Roman" w:hAnsi="Verdana" w:cs="Times New Roman"/>
      <w:spacing w:val="-6"/>
      <w:sz w:val="20"/>
      <w:szCs w:val="18"/>
      <w:lang w:val="en-US" w:eastAsia="zh-CN"/>
    </w:rPr>
  </w:style>
  <w:style w:type="character" w:styleId="Strong">
    <w:name w:val="Strong"/>
    <w:basedOn w:val="DefaultParagraphFont"/>
    <w:uiPriority w:val="22"/>
    <w:qFormat/>
    <w:rsid w:val="00032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deakin@localpensionspartnership.org.uk" TargetMode="External"/><Relationship Id="rId13" Type="http://schemas.openxmlformats.org/officeDocument/2006/relationships/hyperlink" Target="https://www.localpensionspartnership.org.uk/what-we-do/investment-management" TargetMode="External"/><Relationship Id="rId18" Type="http://schemas.openxmlformats.org/officeDocument/2006/relationships/image" Target="media/image4.png"/><Relationship Id="rId26" Type="http://schemas.openxmlformats.org/officeDocument/2006/relationships/hyperlink" Target="https://www.localpensionspartnership.org.uk/Admin/Public/DWSDownload.aspx?File=%2fFiles%2fFiles%2fReport+TCFD+Recommendations+v4.pdf" TargetMode="External"/><Relationship Id="rId3" Type="http://schemas.openxmlformats.org/officeDocument/2006/relationships/styles" Target="styles.xml"/><Relationship Id="rId21" Type="http://schemas.openxmlformats.org/officeDocument/2006/relationships/hyperlink" Target="https://theinvestoragenda.org/wp-content/uploads/2019/07/190704-GISGCC-correction-3.pdf" TargetMode="External"/><Relationship Id="rId7" Type="http://schemas.openxmlformats.org/officeDocument/2006/relationships/endnotes" Target="endnotes.xml"/><Relationship Id="rId12" Type="http://schemas.openxmlformats.org/officeDocument/2006/relationships/hyperlink" Target="http://services.google.com/fh/files/blogs/policy_workplace_concerns.pdf" TargetMode="External"/><Relationship Id="rId17" Type="http://schemas.openxmlformats.org/officeDocument/2006/relationships/image" Target="media/image3.png"/><Relationship Id="rId25" Type="http://schemas.openxmlformats.org/officeDocument/2006/relationships/hyperlink" Target="https://www.unpri.org/signatory-directory/local-pensions-partnership/3478.article" TargetMode="External"/><Relationship Id="rId2" Type="http://schemas.openxmlformats.org/officeDocument/2006/relationships/numbering" Target="numbering.xml"/><Relationship Id="rId16" Type="http://schemas.openxmlformats.org/officeDocument/2006/relationships/image" Target="cid:image001.png@01D547C0.75A66630"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ternal_auditor" TargetMode="External"/><Relationship Id="rId24" Type="http://schemas.openxmlformats.org/officeDocument/2006/relationships/hyperlink" Target="https://www.ionacapital.co.uk/single-post/2019/07/15/Iona-Capital-partnership-with-The-Wensleydale-Creamery-to-produce-energy-from-chees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localpensionspartnership.org.uk/Files/Files/LPP%20Annual%20Report%202019%20Final%20(DIGITAL).pdf" TargetMode="External"/><Relationship Id="rId28" Type="http://schemas.openxmlformats.org/officeDocument/2006/relationships/header" Target="header1.xml"/><Relationship Id="rId10" Type="http://schemas.openxmlformats.org/officeDocument/2006/relationships/hyperlink" Target="https://en.wikipedia.org/wiki/External_audito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apfforum.org/publications/qrtly-engagement-reports/" TargetMode="External"/><Relationship Id="rId22" Type="http://schemas.openxmlformats.org/officeDocument/2006/relationships/hyperlink" Target="https://www.plsa.co.uk/Portals/0/Documents/Policy-Documents/2019/ESG-and-Stewardship-A-practical-guide-to-trustee-duties-2019-v2.pdf"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LPP Corporate">
      <a:dk1>
        <a:srgbClr val="183850"/>
      </a:dk1>
      <a:lt1>
        <a:sysClr val="window" lastClr="FFFFFF"/>
      </a:lt1>
      <a:dk2>
        <a:srgbClr val="54BBAB"/>
      </a:dk2>
      <a:lt2>
        <a:srgbClr val="F0F2F2"/>
      </a:lt2>
      <a:accent1>
        <a:srgbClr val="82CFF4"/>
      </a:accent1>
      <a:accent2>
        <a:srgbClr val="1C8E9D"/>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FF2A-4BE9-416C-8D0C-94D8DA742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Castledine, Trevor</dc:creator>
  <cp:lastModifiedBy>Neville, Mike</cp:lastModifiedBy>
  <cp:revision>6</cp:revision>
  <cp:lastPrinted>2019-05-30T08:42:00Z</cp:lastPrinted>
  <dcterms:created xsi:type="dcterms:W3CDTF">2019-08-28T16:15:00Z</dcterms:created>
  <dcterms:modified xsi:type="dcterms:W3CDTF">2019-09-09T13:26:00Z</dcterms:modified>
</cp:coreProperties>
</file>